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E4" w:rsidRPr="006B61E4" w:rsidRDefault="006B61E4" w:rsidP="006B61E4">
      <w:pPr>
        <w:jc w:val="both"/>
        <w:rPr>
          <w:rFonts w:ascii="Arial" w:hAnsi="Arial" w:cs="Arial"/>
          <w:b/>
          <w:bCs/>
          <w:color w:val="000099"/>
          <w:sz w:val="18"/>
          <w:szCs w:val="18"/>
          <w:lang w:val="ro-RO"/>
        </w:rPr>
      </w:pPr>
      <w:r w:rsidRPr="006B61E4">
        <w:rPr>
          <w:rFonts w:ascii="Arial" w:hAnsi="Arial" w:cs="Arial"/>
          <w:b/>
          <w:bCs/>
          <w:color w:val="000099"/>
          <w:sz w:val="18"/>
          <w:szCs w:val="18"/>
          <w:lang w:val="ro-RO"/>
        </w:rPr>
        <w:t>Investeşte în oameni!</w:t>
      </w:r>
    </w:p>
    <w:p w:rsidR="006B61E4" w:rsidRPr="006B61E4" w:rsidRDefault="006B61E4" w:rsidP="006B61E4">
      <w:pPr>
        <w:jc w:val="both"/>
        <w:rPr>
          <w:rFonts w:ascii="Arial" w:hAnsi="Arial" w:cs="Arial"/>
          <w:bCs/>
          <w:color w:val="000099"/>
          <w:sz w:val="18"/>
          <w:szCs w:val="18"/>
          <w:lang w:val="ro-RO"/>
        </w:rPr>
      </w:pPr>
      <w:r w:rsidRPr="006B61E4">
        <w:rPr>
          <w:rFonts w:ascii="Arial" w:hAnsi="Arial" w:cs="Arial"/>
          <w:bCs/>
          <w:color w:val="000099"/>
          <w:sz w:val="18"/>
          <w:szCs w:val="18"/>
          <w:lang w:val="ro-RO"/>
        </w:rPr>
        <w:t>Proiect cofinanţat din Fondul Social European prin</w:t>
      </w:r>
      <w:r w:rsidRPr="006B61E4">
        <w:rPr>
          <w:rFonts w:ascii="Arial" w:hAnsi="Arial" w:cs="Arial"/>
          <w:b/>
          <w:bCs/>
          <w:color w:val="000099"/>
          <w:sz w:val="18"/>
          <w:szCs w:val="18"/>
          <w:lang w:val="ro-RO"/>
        </w:rPr>
        <w:t xml:space="preserve"> </w:t>
      </w:r>
      <w:r w:rsidRPr="006B61E4">
        <w:rPr>
          <w:rFonts w:ascii="Arial" w:hAnsi="Arial" w:cs="Arial"/>
          <w:bCs/>
          <w:color w:val="000099"/>
          <w:sz w:val="18"/>
          <w:szCs w:val="18"/>
          <w:lang w:val="ro-RO"/>
        </w:rPr>
        <w:t>Programul Operaţional Sectorial Dezvoltarea Resurselor Umane 2007 – 2013</w:t>
      </w:r>
    </w:p>
    <w:p w:rsidR="006B61E4" w:rsidRPr="006B61E4" w:rsidRDefault="006B61E4" w:rsidP="006B61E4">
      <w:pPr>
        <w:jc w:val="both"/>
        <w:rPr>
          <w:rFonts w:ascii="Arial" w:hAnsi="Arial" w:cs="Arial"/>
          <w:b/>
          <w:bCs/>
          <w:color w:val="000099"/>
          <w:sz w:val="18"/>
          <w:szCs w:val="18"/>
          <w:lang w:val="ro-RO"/>
        </w:rPr>
      </w:pPr>
      <w:r w:rsidRPr="006B61E4">
        <w:rPr>
          <w:rFonts w:ascii="Arial" w:hAnsi="Arial" w:cs="Arial"/>
          <w:bCs/>
          <w:color w:val="000099"/>
          <w:sz w:val="18"/>
          <w:szCs w:val="18"/>
          <w:lang w:val="ro-RO"/>
        </w:rPr>
        <w:t xml:space="preserve">Axa prioritară </w:t>
      </w:r>
      <w:r w:rsidRPr="006B61E4">
        <w:rPr>
          <w:rFonts w:ascii="Arial" w:hAnsi="Arial" w:cs="Arial"/>
          <w:b/>
          <w:bCs/>
          <w:color w:val="000099"/>
          <w:sz w:val="18"/>
          <w:szCs w:val="18"/>
          <w:lang w:val="ro-RO"/>
        </w:rPr>
        <w:t>1 „Educaţia şi formarea profesională în sprijinul creşterii economice şi dezvoltării societăţii bazate pe cunoaştere”</w:t>
      </w:r>
      <w:r w:rsidR="006B06CB" w:rsidRPr="006B06CB">
        <w:rPr>
          <w:noProof/>
          <w:color w:val="000000" w:themeColor="text1"/>
          <w:sz w:val="20"/>
          <w:lang w:eastAsia="en-US"/>
        </w:rPr>
        <w:t xml:space="preserve"> </w:t>
      </w:r>
    </w:p>
    <w:p w:rsidR="006B61E4" w:rsidRPr="006B61E4" w:rsidRDefault="006B61E4" w:rsidP="006B61E4">
      <w:pPr>
        <w:jc w:val="both"/>
        <w:rPr>
          <w:rFonts w:ascii="Arial" w:hAnsi="Arial" w:cs="Arial"/>
          <w:b/>
          <w:color w:val="000099"/>
          <w:sz w:val="18"/>
          <w:szCs w:val="18"/>
          <w:lang w:val="ro-RO"/>
        </w:rPr>
      </w:pPr>
      <w:r w:rsidRPr="006B61E4">
        <w:rPr>
          <w:rFonts w:ascii="Arial" w:hAnsi="Arial" w:cs="Arial"/>
          <w:color w:val="000099"/>
          <w:sz w:val="18"/>
          <w:szCs w:val="18"/>
          <w:lang w:val="ro-RO"/>
        </w:rPr>
        <w:t>Domeniul major de intervenţie</w:t>
      </w:r>
      <w:r w:rsidRPr="006B61E4">
        <w:rPr>
          <w:rFonts w:ascii="Arial" w:hAnsi="Arial" w:cs="Arial"/>
          <w:b/>
          <w:color w:val="000099"/>
          <w:sz w:val="18"/>
          <w:szCs w:val="18"/>
          <w:lang w:val="ro-RO"/>
        </w:rPr>
        <w:t xml:space="preserve"> 1.2 „Calitate în învăţământul superior”</w:t>
      </w:r>
    </w:p>
    <w:p w:rsidR="006B61E4" w:rsidRPr="006B61E4" w:rsidRDefault="006B61E4" w:rsidP="006B61E4">
      <w:pPr>
        <w:jc w:val="both"/>
        <w:rPr>
          <w:rFonts w:ascii="Arial" w:hAnsi="Arial" w:cs="Arial"/>
          <w:b/>
          <w:color w:val="000099"/>
          <w:sz w:val="18"/>
          <w:szCs w:val="18"/>
          <w:lang w:val="ro-RO"/>
        </w:rPr>
      </w:pPr>
      <w:r w:rsidRPr="006B61E4">
        <w:rPr>
          <w:rFonts w:ascii="Arial" w:hAnsi="Arial" w:cs="Arial"/>
          <w:b/>
          <w:color w:val="000099"/>
          <w:sz w:val="18"/>
          <w:szCs w:val="18"/>
          <w:lang w:val="ro-RO"/>
        </w:rPr>
        <w:t>Titlul proiectului „Dezvoltarea şi consolidarea culturii calităţii la nivelul sistemului de învăţământ superior românesc - QUALITAS”</w:t>
      </w:r>
    </w:p>
    <w:p w:rsidR="006B61E4" w:rsidRPr="006B61E4" w:rsidRDefault="006B61E4" w:rsidP="006B61E4">
      <w:pPr>
        <w:jc w:val="both"/>
        <w:rPr>
          <w:rFonts w:ascii="Arial" w:hAnsi="Arial" w:cs="Arial"/>
          <w:color w:val="000099"/>
          <w:sz w:val="18"/>
          <w:szCs w:val="18"/>
          <w:lang w:val="ro-RO"/>
        </w:rPr>
      </w:pPr>
      <w:r w:rsidRPr="006B61E4">
        <w:rPr>
          <w:rFonts w:ascii="Arial" w:hAnsi="Arial" w:cs="Arial"/>
          <w:color w:val="000099"/>
          <w:sz w:val="18"/>
          <w:szCs w:val="18"/>
          <w:lang w:val="ro-RO"/>
        </w:rPr>
        <w:t>Contract POSDRU/155/1.2/S/141894</w:t>
      </w:r>
    </w:p>
    <w:p w:rsidR="006B61E4" w:rsidRPr="00745A4B" w:rsidRDefault="003B6221" w:rsidP="006B61E4">
      <w:pPr>
        <w:rPr>
          <w:rFonts w:ascii="Arial" w:hAnsi="Arial" w:cs="Arial"/>
          <w:color w:val="FF0000"/>
          <w:sz w:val="18"/>
          <w:szCs w:val="18"/>
          <w:lang w:val="ro-RO"/>
        </w:rPr>
      </w:pPr>
      <w:r w:rsidRPr="003B6221">
        <w:rPr>
          <w:noProof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7.7pt;width:708pt;height:0;z-index:251658240" o:connectortype="straight" strokecolor="#009"/>
        </w:pict>
      </w:r>
    </w:p>
    <w:p w:rsidR="009827A2" w:rsidRPr="00652F92" w:rsidRDefault="009827A2" w:rsidP="00540A49">
      <w:pPr>
        <w:pStyle w:val="Heading1"/>
        <w:spacing w:after="120"/>
        <w:rPr>
          <w:rFonts w:ascii="Times New Roman" w:hAnsi="Times New Roman"/>
          <w:b w:val="0"/>
          <w:i/>
          <w:sz w:val="28"/>
          <w:szCs w:val="28"/>
          <w:lang w:val="ro-RO"/>
        </w:rPr>
      </w:pPr>
      <w:r w:rsidRPr="00652F92">
        <w:rPr>
          <w:rFonts w:ascii="Times New Roman" w:hAnsi="Times New Roman"/>
          <w:i/>
          <w:sz w:val="28"/>
          <w:szCs w:val="28"/>
          <w:lang w:val="ro-RO"/>
        </w:rPr>
        <w:t>Agenţia Română de Asigurare a Calităţii în Învăţământul Superior</w:t>
      </w:r>
    </w:p>
    <w:p w:rsidR="009827A2" w:rsidRPr="00652F92" w:rsidRDefault="009827A2" w:rsidP="00540A49">
      <w:pPr>
        <w:pStyle w:val="Heading1"/>
        <w:spacing w:after="120"/>
        <w:jc w:val="center"/>
        <w:rPr>
          <w:rFonts w:ascii="Times New Roman" w:hAnsi="Times New Roman"/>
          <w:u w:val="single"/>
          <w:lang w:val="ro-RO"/>
        </w:rPr>
      </w:pPr>
      <w:r w:rsidRPr="00652F92">
        <w:rPr>
          <w:rFonts w:ascii="Times New Roman" w:hAnsi="Times New Roman"/>
          <w:u w:val="single"/>
          <w:lang w:val="ro-RO"/>
        </w:rPr>
        <w:t>FIŞA  VIZITEI</w:t>
      </w:r>
    </w:p>
    <w:p w:rsidR="009827A2" w:rsidRPr="00652F92" w:rsidRDefault="009827A2" w:rsidP="00540A49">
      <w:pPr>
        <w:jc w:val="center"/>
        <w:rPr>
          <w:b/>
          <w:sz w:val="26"/>
          <w:szCs w:val="26"/>
          <w:lang w:val="ro-RO"/>
        </w:rPr>
      </w:pPr>
      <w:r w:rsidRPr="00652F92">
        <w:rPr>
          <w:sz w:val="26"/>
          <w:szCs w:val="26"/>
          <w:lang w:val="ro-RO"/>
        </w:rPr>
        <w:t>în vederea</w:t>
      </w:r>
      <w:r w:rsidRPr="00652F92">
        <w:rPr>
          <w:b/>
          <w:sz w:val="26"/>
          <w:szCs w:val="26"/>
          <w:lang w:val="ro-RO"/>
        </w:rPr>
        <w:t xml:space="preserve">  acreditării/evaluării periodice</w:t>
      </w:r>
    </w:p>
    <w:p w:rsidR="009827A2" w:rsidRPr="00652F92" w:rsidRDefault="009827A2" w:rsidP="00540A49">
      <w:pPr>
        <w:jc w:val="center"/>
        <w:rPr>
          <w:b/>
          <w:lang w:val="ro-RO"/>
        </w:rPr>
      </w:pPr>
    </w:p>
    <w:p w:rsidR="009827A2" w:rsidRPr="00652F92" w:rsidRDefault="009827A2" w:rsidP="00540A49">
      <w:pPr>
        <w:spacing w:after="120"/>
        <w:rPr>
          <w:b/>
          <w:lang w:val="ro-RO"/>
        </w:rPr>
      </w:pPr>
      <w:r w:rsidRPr="00652F92">
        <w:rPr>
          <w:b/>
          <w:lang w:val="ro-RO"/>
        </w:rPr>
        <w:t xml:space="preserve">include: A) CERINŢE NORMATIVE OBLIGATORII; </w:t>
      </w:r>
    </w:p>
    <w:p w:rsidR="009827A2" w:rsidRDefault="009827A2" w:rsidP="00540A49">
      <w:pPr>
        <w:spacing w:after="120"/>
        <w:ind w:left="900"/>
        <w:rPr>
          <w:b/>
          <w:lang w:val="ro-RO"/>
        </w:rPr>
      </w:pPr>
      <w:r w:rsidRPr="00652F92">
        <w:rPr>
          <w:b/>
          <w:lang w:val="ro-RO"/>
        </w:rPr>
        <w:t xml:space="preserve">B) STANDARDE  ŞI INDICATORI DE PERFORMANŢĂ </w:t>
      </w:r>
      <w:r w:rsidRPr="00652F92">
        <w:rPr>
          <w:b/>
          <w:caps/>
          <w:lang w:val="ro-RO"/>
        </w:rPr>
        <w:t>generali şi</w:t>
      </w:r>
      <w:r w:rsidRPr="00652F92">
        <w:rPr>
          <w:b/>
          <w:lang w:val="ro-RO"/>
        </w:rPr>
        <w:t xml:space="preserve"> SPECIFICI</w:t>
      </w:r>
    </w:p>
    <w:p w:rsidR="009827A2" w:rsidRPr="009F1936" w:rsidRDefault="009827A2" w:rsidP="00C82114">
      <w:pPr>
        <w:tabs>
          <w:tab w:val="left" w:pos="-1276"/>
          <w:tab w:val="left" w:pos="851"/>
        </w:tabs>
        <w:spacing w:line="360" w:lineRule="auto"/>
        <w:jc w:val="both"/>
        <w:rPr>
          <w:lang w:val="ro-RO"/>
        </w:rPr>
      </w:pPr>
      <w:r>
        <w:rPr>
          <w:i/>
          <w:lang w:val="ro-RO"/>
        </w:rPr>
        <w:t xml:space="preserve">Programul de studii universitare de licenţă </w:t>
      </w:r>
    </w:p>
    <w:p w:rsidR="009827A2" w:rsidRDefault="009827A2" w:rsidP="00C82114">
      <w:pPr>
        <w:tabs>
          <w:tab w:val="left" w:pos="-1276"/>
          <w:tab w:val="left" w:pos="851"/>
        </w:tabs>
        <w:spacing w:line="360" w:lineRule="auto"/>
        <w:jc w:val="both"/>
        <w:rPr>
          <w:i/>
          <w:lang w:val="ro-RO"/>
        </w:rPr>
      </w:pPr>
      <w:r>
        <w:rPr>
          <w:i/>
          <w:lang w:val="ro-RO"/>
        </w:rPr>
        <w:t xml:space="preserve">Domeniul de licenţă </w:t>
      </w:r>
    </w:p>
    <w:p w:rsidR="009827A2" w:rsidRDefault="009827A2" w:rsidP="00C82114">
      <w:pPr>
        <w:tabs>
          <w:tab w:val="left" w:pos="-1276"/>
          <w:tab w:val="left" w:pos="851"/>
        </w:tabs>
        <w:spacing w:line="360" w:lineRule="auto"/>
        <w:jc w:val="both"/>
        <w:rPr>
          <w:i/>
          <w:lang w:val="ro-RO"/>
        </w:rPr>
      </w:pPr>
      <w:r>
        <w:rPr>
          <w:i/>
          <w:lang w:val="ro-RO"/>
        </w:rPr>
        <w:t xml:space="preserve">Facultatea </w:t>
      </w:r>
      <w:r w:rsidRPr="009F1936">
        <w:rPr>
          <w:lang w:val="ro-RO"/>
        </w:rPr>
        <w:t xml:space="preserve">de </w:t>
      </w:r>
    </w:p>
    <w:p w:rsidR="009827A2" w:rsidRDefault="009827A2" w:rsidP="00C82114">
      <w:pPr>
        <w:tabs>
          <w:tab w:val="left" w:pos="-1276"/>
          <w:tab w:val="left" w:pos="851"/>
        </w:tabs>
        <w:spacing w:line="360" w:lineRule="auto"/>
        <w:jc w:val="both"/>
        <w:rPr>
          <w:i/>
          <w:lang w:val="ro-RO"/>
        </w:rPr>
      </w:pPr>
      <w:r>
        <w:rPr>
          <w:i/>
          <w:lang w:val="ro-RO"/>
        </w:rPr>
        <w:t xml:space="preserve">Instituţia </w:t>
      </w:r>
    </w:p>
    <w:p w:rsidR="009827A2" w:rsidRDefault="009827A2" w:rsidP="00C82114">
      <w:pPr>
        <w:tabs>
          <w:tab w:val="left" w:pos="-1276"/>
          <w:tab w:val="left" w:pos="851"/>
        </w:tabs>
        <w:spacing w:line="360" w:lineRule="auto"/>
        <w:jc w:val="both"/>
        <w:rPr>
          <w:i/>
          <w:lang w:val="ro-RO"/>
        </w:rPr>
      </w:pPr>
      <w:r>
        <w:rPr>
          <w:i/>
          <w:lang w:val="ro-RO"/>
        </w:rPr>
        <w:t xml:space="preserve">Data vizitei </w:t>
      </w:r>
    </w:p>
    <w:tbl>
      <w:tblPr>
        <w:tblW w:w="0" w:type="auto"/>
        <w:tblLayout w:type="fixed"/>
        <w:tblLook w:val="0000"/>
      </w:tblPr>
      <w:tblGrid>
        <w:gridCol w:w="2268"/>
        <w:gridCol w:w="11448"/>
      </w:tblGrid>
      <w:tr w:rsidR="009827A2" w:rsidRPr="00652F92" w:rsidTr="004F4263">
        <w:trPr>
          <w:trHeight w:val="345"/>
        </w:trPr>
        <w:tc>
          <w:tcPr>
            <w:tcW w:w="2268" w:type="dxa"/>
            <w:vMerge w:val="restart"/>
          </w:tcPr>
          <w:p w:rsidR="009827A2" w:rsidRPr="00652F92" w:rsidRDefault="009827A2" w:rsidP="007065FD">
            <w:pPr>
              <w:pStyle w:val="Heading4"/>
              <w:jc w:val="center"/>
              <w:rPr>
                <w:sz w:val="20"/>
                <w:lang w:val="ro-RO" w:eastAsia="en-US"/>
              </w:rPr>
            </w:pPr>
            <w:r w:rsidRPr="00652F92">
              <w:rPr>
                <w:sz w:val="20"/>
                <w:lang w:val="ro-RO" w:eastAsia="en-US"/>
              </w:rPr>
              <w:t>ANEXE JUSTIFICATIVE:</w:t>
            </w:r>
          </w:p>
        </w:tc>
        <w:tc>
          <w:tcPr>
            <w:tcW w:w="11448" w:type="dxa"/>
          </w:tcPr>
          <w:p w:rsidR="009827A2" w:rsidRPr="00652F92" w:rsidRDefault="009827A2" w:rsidP="007065FD">
            <w:pPr>
              <w:pStyle w:val="BodyText3"/>
              <w:ind w:left="840" w:hanging="948"/>
              <w:rPr>
                <w:i/>
                <w:sz w:val="24"/>
                <w:szCs w:val="24"/>
                <w:lang w:val="ro-RO" w:eastAsia="en-US"/>
              </w:rPr>
            </w:pPr>
            <w:r w:rsidRPr="00652F92">
              <w:rPr>
                <w:i/>
                <w:sz w:val="24"/>
                <w:szCs w:val="24"/>
                <w:lang w:val="ro-RO" w:eastAsia="en-US"/>
              </w:rPr>
              <w:t>1. Plan de învăţământ</w:t>
            </w:r>
          </w:p>
        </w:tc>
      </w:tr>
      <w:tr w:rsidR="009827A2" w:rsidRPr="007E4DAB" w:rsidTr="004F4263">
        <w:tc>
          <w:tcPr>
            <w:tcW w:w="2268" w:type="dxa"/>
            <w:vMerge/>
          </w:tcPr>
          <w:p w:rsidR="009827A2" w:rsidRPr="00652F92" w:rsidRDefault="009827A2" w:rsidP="007065FD">
            <w:pPr>
              <w:tabs>
                <w:tab w:val="left" w:pos="-1276"/>
                <w:tab w:val="left" w:pos="851"/>
              </w:tabs>
              <w:jc w:val="both"/>
              <w:rPr>
                <w:i/>
                <w:lang w:val="ro-RO"/>
              </w:rPr>
            </w:pPr>
          </w:p>
        </w:tc>
        <w:tc>
          <w:tcPr>
            <w:tcW w:w="11448" w:type="dxa"/>
          </w:tcPr>
          <w:p w:rsidR="009827A2" w:rsidRPr="00652F92" w:rsidRDefault="009827A2" w:rsidP="007065FD">
            <w:pPr>
              <w:tabs>
                <w:tab w:val="left" w:pos="-1276"/>
                <w:tab w:val="left" w:pos="252"/>
              </w:tabs>
              <w:spacing w:after="120"/>
              <w:ind w:left="252" w:hanging="360"/>
              <w:jc w:val="both"/>
              <w:rPr>
                <w:i/>
                <w:lang w:val="ro-RO"/>
              </w:rPr>
            </w:pPr>
            <w:r w:rsidRPr="00652F92">
              <w:rPr>
                <w:i/>
                <w:lang w:val="ro-RO"/>
              </w:rPr>
              <w:t>2. Rezumatul descrierii calificarii in cadrul RNCIS (cf.Anexei 5 a Anexei la Ordinul MECTS nr.5.703/2011)</w:t>
            </w:r>
          </w:p>
        </w:tc>
      </w:tr>
      <w:tr w:rsidR="009827A2" w:rsidRPr="00652F92" w:rsidTr="004F4263">
        <w:tc>
          <w:tcPr>
            <w:tcW w:w="2268" w:type="dxa"/>
          </w:tcPr>
          <w:p w:rsidR="009827A2" w:rsidRPr="00652F92" w:rsidRDefault="009827A2" w:rsidP="007065FD">
            <w:pPr>
              <w:tabs>
                <w:tab w:val="left" w:pos="-1276"/>
                <w:tab w:val="left" w:pos="851"/>
              </w:tabs>
              <w:jc w:val="both"/>
              <w:rPr>
                <w:i/>
                <w:lang w:val="ro-RO"/>
              </w:rPr>
            </w:pPr>
          </w:p>
        </w:tc>
        <w:tc>
          <w:tcPr>
            <w:tcW w:w="11448" w:type="dxa"/>
          </w:tcPr>
          <w:p w:rsidR="009827A2" w:rsidRPr="00DA1C82" w:rsidRDefault="009827A2" w:rsidP="007065FD">
            <w:pPr>
              <w:pStyle w:val="Heading2"/>
              <w:tabs>
                <w:tab w:val="left" w:pos="362"/>
              </w:tabs>
              <w:spacing w:after="120"/>
              <w:ind w:left="840" w:hanging="948"/>
              <w:rPr>
                <w:b w:val="0"/>
                <w:i/>
                <w:u w:val="single"/>
                <w:lang w:val="ro-RO" w:eastAsia="en-US"/>
              </w:rPr>
            </w:pPr>
            <w:r w:rsidRPr="00DA1C82">
              <w:rPr>
                <w:b w:val="0"/>
                <w:i/>
                <w:lang w:val="ro-RO" w:eastAsia="en-US"/>
              </w:rPr>
              <w:t>3. Situaţia acoperirii posturilor din statele de funcţii cu personal didactic (</w:t>
            </w:r>
            <w:r w:rsidRPr="00DA1C82">
              <w:rPr>
                <w:i/>
                <w:lang w:val="ro-RO" w:eastAsia="en-US"/>
              </w:rPr>
              <w:t>A1</w:t>
            </w:r>
            <w:r w:rsidRPr="00DA1C82">
              <w:rPr>
                <w:b w:val="0"/>
                <w:i/>
                <w:lang w:val="ro-RO" w:eastAsia="en-US"/>
              </w:rPr>
              <w:t>)</w:t>
            </w:r>
          </w:p>
        </w:tc>
      </w:tr>
      <w:tr w:rsidR="009827A2" w:rsidRPr="007E4DAB" w:rsidTr="004F4263">
        <w:tc>
          <w:tcPr>
            <w:tcW w:w="2268" w:type="dxa"/>
          </w:tcPr>
          <w:p w:rsidR="009827A2" w:rsidRPr="00652F92" w:rsidRDefault="009827A2" w:rsidP="007065FD">
            <w:pPr>
              <w:tabs>
                <w:tab w:val="left" w:pos="-1276"/>
                <w:tab w:val="left" w:pos="851"/>
              </w:tabs>
              <w:jc w:val="both"/>
              <w:rPr>
                <w:i/>
                <w:lang w:val="ro-RO"/>
              </w:rPr>
            </w:pPr>
          </w:p>
        </w:tc>
        <w:tc>
          <w:tcPr>
            <w:tcW w:w="11448" w:type="dxa"/>
          </w:tcPr>
          <w:p w:rsidR="009827A2" w:rsidRPr="00652F92" w:rsidRDefault="009827A2" w:rsidP="007065FD">
            <w:pPr>
              <w:tabs>
                <w:tab w:val="left" w:pos="-1276"/>
                <w:tab w:val="left" w:pos="362"/>
              </w:tabs>
              <w:spacing w:after="120"/>
              <w:ind w:left="252" w:hanging="360"/>
              <w:jc w:val="both"/>
              <w:rPr>
                <w:i/>
                <w:lang w:val="ro-RO"/>
              </w:rPr>
            </w:pPr>
            <w:r w:rsidRPr="00652F92">
              <w:rPr>
                <w:i/>
                <w:lang w:val="ro-RO"/>
              </w:rPr>
              <w:t>4. Personal didactic (Lista şi Tabelul privind în</w:t>
            </w:r>
            <w:r>
              <w:rPr>
                <w:i/>
                <w:lang w:val="ro-RO"/>
              </w:rPr>
              <w:t xml:space="preserve">deplinirea indicatorului </w:t>
            </w:r>
            <w:r w:rsidRPr="00652F92">
              <w:rPr>
                <w:i/>
                <w:lang w:val="ro-RO"/>
              </w:rPr>
              <w:t xml:space="preserve">referitor la competenţa cadrelor didactice)  </w:t>
            </w:r>
            <w:r>
              <w:rPr>
                <w:i/>
                <w:lang w:val="ro-RO"/>
              </w:rPr>
              <w:t>(</w:t>
            </w:r>
            <w:r w:rsidRPr="00A8281B">
              <w:rPr>
                <w:b/>
                <w:i/>
                <w:lang w:val="ro-RO"/>
              </w:rPr>
              <w:t>A5</w:t>
            </w:r>
            <w:r>
              <w:rPr>
                <w:i/>
                <w:lang w:val="ro-RO"/>
              </w:rPr>
              <w:t>)</w:t>
            </w:r>
            <w:r w:rsidRPr="00652F92">
              <w:rPr>
                <w:i/>
                <w:lang w:val="ro-RO"/>
              </w:rPr>
              <w:t xml:space="preserve"> </w:t>
            </w:r>
          </w:p>
          <w:p w:rsidR="009827A2" w:rsidRPr="00652F92" w:rsidRDefault="009827A2" w:rsidP="007065FD">
            <w:pPr>
              <w:tabs>
                <w:tab w:val="left" w:pos="-1276"/>
                <w:tab w:val="left" w:pos="362"/>
              </w:tabs>
              <w:spacing w:after="120"/>
              <w:ind w:left="840" w:hanging="948"/>
              <w:jc w:val="both"/>
              <w:rPr>
                <w:i/>
                <w:u w:val="single"/>
                <w:lang w:val="ro-RO"/>
              </w:rPr>
            </w:pPr>
            <w:r w:rsidRPr="00652F92">
              <w:rPr>
                <w:i/>
                <w:lang w:val="ro-RO"/>
              </w:rPr>
              <w:t>5. Studenţii (pe ani de studii)</w:t>
            </w:r>
            <w:r>
              <w:rPr>
                <w:i/>
                <w:lang w:val="ro-RO"/>
              </w:rPr>
              <w:t>(</w:t>
            </w:r>
            <w:r w:rsidRPr="00A8281B">
              <w:rPr>
                <w:b/>
                <w:i/>
                <w:lang w:val="ro-RO"/>
              </w:rPr>
              <w:t>A3</w:t>
            </w:r>
            <w:r>
              <w:rPr>
                <w:i/>
                <w:lang w:val="ro-RO"/>
              </w:rPr>
              <w:t>)</w:t>
            </w:r>
          </w:p>
        </w:tc>
      </w:tr>
      <w:tr w:rsidR="009827A2" w:rsidRPr="007E4DAB" w:rsidTr="004F4263">
        <w:tc>
          <w:tcPr>
            <w:tcW w:w="2268" w:type="dxa"/>
          </w:tcPr>
          <w:p w:rsidR="009827A2" w:rsidRPr="00652F92" w:rsidRDefault="009827A2" w:rsidP="007065FD">
            <w:pPr>
              <w:tabs>
                <w:tab w:val="left" w:pos="-1276"/>
                <w:tab w:val="left" w:pos="851"/>
              </w:tabs>
              <w:jc w:val="both"/>
              <w:rPr>
                <w:i/>
                <w:lang w:val="ro-RO"/>
              </w:rPr>
            </w:pPr>
          </w:p>
        </w:tc>
        <w:tc>
          <w:tcPr>
            <w:tcW w:w="11448" w:type="dxa"/>
          </w:tcPr>
          <w:p w:rsidR="009827A2" w:rsidRPr="00652F92" w:rsidRDefault="009827A2" w:rsidP="007065FD">
            <w:pPr>
              <w:tabs>
                <w:tab w:val="left" w:pos="-1276"/>
                <w:tab w:val="left" w:pos="362"/>
              </w:tabs>
              <w:spacing w:after="120"/>
              <w:ind w:left="252" w:hanging="360"/>
              <w:jc w:val="both"/>
              <w:rPr>
                <w:i/>
                <w:lang w:val="ro-RO"/>
              </w:rPr>
            </w:pPr>
            <w:r w:rsidRPr="00652F92">
              <w:rPr>
                <w:i/>
                <w:lang w:val="ro-RO"/>
              </w:rPr>
              <w:t>6. Cercetarea ştiinţifică (numai temele din contractele de cercetare ştiinţifică   pe anul calendaristic în curs şi din ultimii 3 ani)</w:t>
            </w:r>
            <w:r>
              <w:rPr>
                <w:i/>
                <w:lang w:val="ro-RO"/>
              </w:rPr>
              <w:t>(</w:t>
            </w:r>
            <w:r w:rsidRPr="00A8281B">
              <w:rPr>
                <w:b/>
                <w:i/>
                <w:lang w:val="ro-RO"/>
              </w:rPr>
              <w:t>A</w:t>
            </w:r>
            <w:r>
              <w:rPr>
                <w:i/>
                <w:lang w:val="ro-RO"/>
              </w:rPr>
              <w:t>4)</w:t>
            </w:r>
          </w:p>
        </w:tc>
      </w:tr>
      <w:tr w:rsidR="009827A2" w:rsidRPr="00652F92" w:rsidTr="004F4263">
        <w:tc>
          <w:tcPr>
            <w:tcW w:w="2268" w:type="dxa"/>
          </w:tcPr>
          <w:p w:rsidR="009827A2" w:rsidRPr="00652F92" w:rsidRDefault="009827A2" w:rsidP="007065FD">
            <w:pPr>
              <w:tabs>
                <w:tab w:val="left" w:pos="-1276"/>
                <w:tab w:val="left" w:pos="851"/>
              </w:tabs>
              <w:jc w:val="both"/>
              <w:rPr>
                <w:i/>
                <w:lang w:val="ro-RO"/>
              </w:rPr>
            </w:pPr>
          </w:p>
        </w:tc>
        <w:tc>
          <w:tcPr>
            <w:tcW w:w="11448" w:type="dxa"/>
          </w:tcPr>
          <w:p w:rsidR="009827A2" w:rsidRPr="00652F92" w:rsidRDefault="009827A2" w:rsidP="007065FD">
            <w:pPr>
              <w:tabs>
                <w:tab w:val="left" w:pos="-1276"/>
                <w:tab w:val="left" w:pos="851"/>
              </w:tabs>
              <w:spacing w:after="120"/>
              <w:ind w:left="-108"/>
              <w:jc w:val="both"/>
              <w:rPr>
                <w:i/>
                <w:lang w:val="ro-RO"/>
              </w:rPr>
            </w:pPr>
            <w:r w:rsidRPr="00652F92">
              <w:rPr>
                <w:i/>
                <w:lang w:val="ro-RO"/>
              </w:rPr>
              <w:t>7. Situaţia centralizatoare a spaţiilor de învăţământ şi a dotării</w:t>
            </w:r>
            <w:r>
              <w:rPr>
                <w:i/>
                <w:lang w:val="ro-RO"/>
              </w:rPr>
              <w:t xml:space="preserve"> (</w:t>
            </w:r>
            <w:r w:rsidRPr="00A8281B">
              <w:rPr>
                <w:b/>
                <w:i/>
                <w:lang w:val="ro-RO"/>
              </w:rPr>
              <w:t>A2</w:t>
            </w:r>
            <w:r>
              <w:rPr>
                <w:i/>
                <w:lang w:val="ro-RO"/>
              </w:rPr>
              <w:t>)</w:t>
            </w:r>
          </w:p>
        </w:tc>
      </w:tr>
    </w:tbl>
    <w:p w:rsidR="009827A2" w:rsidRPr="00652F92" w:rsidRDefault="009827A2" w:rsidP="00540A49">
      <w:pPr>
        <w:tabs>
          <w:tab w:val="left" w:pos="-1276"/>
          <w:tab w:val="left" w:pos="851"/>
        </w:tabs>
        <w:jc w:val="both"/>
        <w:rPr>
          <w:i/>
          <w:lang w:val="ro-RO"/>
        </w:rPr>
      </w:pPr>
      <w:r w:rsidRPr="00652F92">
        <w:rPr>
          <w:i/>
          <w:lang w:val="ro-RO"/>
        </w:rPr>
        <w:t xml:space="preserve">Datele din </w:t>
      </w:r>
      <w:r w:rsidRPr="00652F92">
        <w:rPr>
          <w:lang w:val="ro-RO"/>
        </w:rPr>
        <w:t>FIŞA VIZITEI şi din ANEXELE  JUSTIFICATIVE</w:t>
      </w:r>
      <w:r w:rsidRPr="00652F92">
        <w:rPr>
          <w:i/>
          <w:lang w:val="ro-RO"/>
        </w:rPr>
        <w:t xml:space="preserve"> sunt certificate de semnăturile membrilor comisiei de vizită care verifică documentele sau aduc copiile actelor doveditoare pentru analiza în plenul comisiei.</w:t>
      </w:r>
    </w:p>
    <w:p w:rsidR="009827A2" w:rsidRPr="00652F92" w:rsidRDefault="009827A2" w:rsidP="00540A49">
      <w:pPr>
        <w:tabs>
          <w:tab w:val="left" w:pos="-1276"/>
          <w:tab w:val="left" w:pos="851"/>
        </w:tabs>
        <w:jc w:val="both"/>
        <w:rPr>
          <w:b/>
          <w:i/>
          <w:sz w:val="10"/>
          <w:szCs w:val="10"/>
          <w:lang w:val="ro-RO"/>
        </w:rPr>
      </w:pPr>
    </w:p>
    <w:p w:rsidR="009827A2" w:rsidRPr="00652F92" w:rsidRDefault="009827A2" w:rsidP="00540A49">
      <w:pPr>
        <w:tabs>
          <w:tab w:val="left" w:pos="-1276"/>
          <w:tab w:val="left" w:pos="851"/>
        </w:tabs>
        <w:jc w:val="both"/>
        <w:rPr>
          <w:u w:val="single"/>
          <w:lang w:val="ro-RO"/>
        </w:rPr>
      </w:pPr>
      <w:r w:rsidRPr="00652F92">
        <w:rPr>
          <w:u w:val="single"/>
          <w:lang w:val="ro-RO"/>
        </w:rPr>
        <w:t>Componenţa comisiei care efectuează vizita:</w:t>
      </w:r>
    </w:p>
    <w:p w:rsidR="009827A2" w:rsidRPr="00652F92" w:rsidRDefault="009827A2" w:rsidP="00540A49">
      <w:pPr>
        <w:tabs>
          <w:tab w:val="left" w:pos="-1276"/>
          <w:tab w:val="left" w:pos="960"/>
        </w:tabs>
        <w:jc w:val="both"/>
        <w:rPr>
          <w:b/>
          <w:i/>
          <w:lang w:val="ro-RO"/>
        </w:rPr>
      </w:pPr>
      <w:r w:rsidRPr="00652F92">
        <w:rPr>
          <w:i/>
          <w:lang w:val="ro-RO"/>
        </w:rPr>
        <w:tab/>
      </w:r>
      <w:r w:rsidRPr="00652F92">
        <w:rPr>
          <w:b/>
          <w:i/>
          <w:lang w:val="ro-RO"/>
        </w:rPr>
        <w:t>Experţii evaluatori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Look w:val="0000"/>
      </w:tblPr>
      <w:tblGrid>
        <w:gridCol w:w="900"/>
        <w:gridCol w:w="3461"/>
        <w:gridCol w:w="2400"/>
        <w:gridCol w:w="1974"/>
        <w:gridCol w:w="2017"/>
      </w:tblGrid>
      <w:tr w:rsidR="009827A2" w:rsidRPr="00652F92" w:rsidTr="009827A2">
        <w:trPr>
          <w:trHeight w:val="300"/>
        </w:trPr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27A2" w:rsidRPr="00652F92" w:rsidRDefault="009827A2" w:rsidP="007065FD">
            <w:pPr>
              <w:tabs>
                <w:tab w:val="left" w:pos="-1276"/>
                <w:tab w:val="left" w:pos="851"/>
              </w:tabs>
              <w:jc w:val="center"/>
              <w:rPr>
                <w:szCs w:val="22"/>
                <w:lang w:val="ro-RO"/>
              </w:rPr>
            </w:pPr>
            <w:r w:rsidRPr="00652F92">
              <w:rPr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34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27A2" w:rsidRPr="00DA1C82" w:rsidRDefault="009827A2" w:rsidP="007065FD">
            <w:pPr>
              <w:pStyle w:val="Heading2"/>
              <w:jc w:val="center"/>
              <w:rPr>
                <w:b w:val="0"/>
                <w:lang w:val="ro-RO" w:eastAsia="en-US"/>
              </w:rPr>
            </w:pPr>
            <w:r w:rsidRPr="00DA1C82">
              <w:rPr>
                <w:b w:val="0"/>
                <w:lang w:val="ro-RO" w:eastAsia="en-US"/>
              </w:rPr>
              <w:t>Numele şi prenumele</w:t>
            </w:r>
          </w:p>
        </w:tc>
        <w:tc>
          <w:tcPr>
            <w:tcW w:w="2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27A2" w:rsidRPr="00652F92" w:rsidRDefault="009827A2" w:rsidP="007065FD">
            <w:pPr>
              <w:tabs>
                <w:tab w:val="left" w:pos="-1276"/>
                <w:tab w:val="left" w:pos="851"/>
              </w:tabs>
              <w:jc w:val="center"/>
              <w:rPr>
                <w:lang w:val="ro-RO"/>
              </w:rPr>
            </w:pPr>
            <w:r w:rsidRPr="00652F92">
              <w:rPr>
                <w:lang w:val="ro-RO"/>
              </w:rPr>
              <w:t>Calitatea</w:t>
            </w:r>
          </w:p>
        </w:tc>
        <w:tc>
          <w:tcPr>
            <w:tcW w:w="1974" w:type="dxa"/>
            <w:tcBorders>
              <w:top w:val="single" w:sz="18" w:space="0" w:color="auto"/>
              <w:bottom w:val="single" w:sz="18" w:space="0" w:color="auto"/>
            </w:tcBorders>
          </w:tcPr>
          <w:p w:rsidR="009827A2" w:rsidRPr="00652F92" w:rsidRDefault="009827A2" w:rsidP="007065FD">
            <w:pPr>
              <w:tabs>
                <w:tab w:val="left" w:pos="-1276"/>
                <w:tab w:val="left" w:pos="851"/>
              </w:tabs>
              <w:jc w:val="center"/>
              <w:rPr>
                <w:lang w:val="ro-RO"/>
              </w:rPr>
            </w:pPr>
            <w:r w:rsidRPr="00652F92">
              <w:rPr>
                <w:lang w:val="ro-RO"/>
              </w:rPr>
              <w:t>Semnătura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27A2" w:rsidRPr="00652F92" w:rsidRDefault="009827A2" w:rsidP="007065FD">
            <w:pPr>
              <w:tabs>
                <w:tab w:val="left" w:pos="-1276"/>
                <w:tab w:val="left" w:pos="851"/>
              </w:tabs>
              <w:jc w:val="center"/>
              <w:rPr>
                <w:lang w:val="ro-RO"/>
              </w:rPr>
            </w:pPr>
            <w:r w:rsidRPr="00652F92">
              <w:rPr>
                <w:lang w:val="ro-RO"/>
              </w:rPr>
              <w:t>Observaţii</w:t>
            </w:r>
          </w:p>
        </w:tc>
      </w:tr>
      <w:tr w:rsidR="009827A2" w:rsidRPr="00200A22" w:rsidTr="009827A2">
        <w:trPr>
          <w:trHeight w:val="300"/>
        </w:trPr>
        <w:tc>
          <w:tcPr>
            <w:tcW w:w="900" w:type="dxa"/>
            <w:tcBorders>
              <w:top w:val="nil"/>
            </w:tcBorders>
            <w:vAlign w:val="center"/>
          </w:tcPr>
          <w:p w:rsidR="009827A2" w:rsidRPr="00652F92" w:rsidRDefault="009827A2" w:rsidP="00540A49">
            <w:pPr>
              <w:numPr>
                <w:ilvl w:val="0"/>
                <w:numId w:val="1"/>
              </w:numPr>
              <w:tabs>
                <w:tab w:val="left" w:pos="-1276"/>
                <w:tab w:val="left" w:pos="851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lang w:val="ro-RO"/>
              </w:rPr>
            </w:pPr>
          </w:p>
        </w:tc>
        <w:tc>
          <w:tcPr>
            <w:tcW w:w="3461" w:type="dxa"/>
            <w:tcBorders>
              <w:top w:val="nil"/>
            </w:tcBorders>
            <w:vAlign w:val="center"/>
          </w:tcPr>
          <w:p w:rsidR="009827A2" w:rsidRDefault="009827A2" w:rsidP="007065FD">
            <w:pPr>
              <w:tabs>
                <w:tab w:val="left" w:pos="-1276"/>
                <w:tab w:val="left" w:pos="851"/>
              </w:tabs>
              <w:jc w:val="both"/>
              <w:rPr>
                <w:i/>
                <w:lang w:val="ro-RO"/>
              </w:rPr>
            </w:pPr>
          </w:p>
          <w:p w:rsidR="009827A2" w:rsidRPr="00D84157" w:rsidRDefault="009827A2" w:rsidP="007065FD">
            <w:pPr>
              <w:tabs>
                <w:tab w:val="left" w:pos="-1276"/>
                <w:tab w:val="left" w:pos="851"/>
              </w:tabs>
              <w:jc w:val="both"/>
              <w:rPr>
                <w:i/>
                <w:lang w:val="ro-RO"/>
              </w:rPr>
            </w:pPr>
          </w:p>
        </w:tc>
        <w:tc>
          <w:tcPr>
            <w:tcW w:w="2400" w:type="dxa"/>
            <w:tcBorders>
              <w:top w:val="nil"/>
            </w:tcBorders>
            <w:vAlign w:val="center"/>
          </w:tcPr>
          <w:p w:rsidR="009827A2" w:rsidRPr="00652F92" w:rsidRDefault="009827A2" w:rsidP="009827A2">
            <w:pPr>
              <w:pStyle w:val="Heading4"/>
              <w:spacing w:before="0" w:after="0"/>
              <w:jc w:val="center"/>
              <w:rPr>
                <w:b w:val="0"/>
                <w:i/>
                <w:sz w:val="24"/>
                <w:szCs w:val="24"/>
                <w:lang w:val="ro-RO" w:eastAsia="en-US"/>
              </w:rPr>
            </w:pPr>
            <w:r>
              <w:rPr>
                <w:b w:val="0"/>
                <w:i/>
                <w:sz w:val="24"/>
                <w:szCs w:val="24"/>
                <w:lang w:val="ro-RO" w:eastAsia="en-US"/>
              </w:rPr>
              <w:t>ETS – Evaluator program</w:t>
            </w:r>
          </w:p>
        </w:tc>
        <w:tc>
          <w:tcPr>
            <w:tcW w:w="1974" w:type="dxa"/>
            <w:tcBorders>
              <w:top w:val="nil"/>
            </w:tcBorders>
          </w:tcPr>
          <w:p w:rsidR="009827A2" w:rsidRPr="00652F92" w:rsidRDefault="009827A2" w:rsidP="007065FD">
            <w:pPr>
              <w:tabs>
                <w:tab w:val="left" w:pos="-1276"/>
                <w:tab w:val="left" w:pos="851"/>
              </w:tabs>
              <w:jc w:val="both"/>
              <w:rPr>
                <w:b/>
                <w:i/>
                <w:lang w:val="ro-RO"/>
              </w:rPr>
            </w:pPr>
          </w:p>
        </w:tc>
        <w:tc>
          <w:tcPr>
            <w:tcW w:w="2017" w:type="dxa"/>
            <w:tcBorders>
              <w:top w:val="nil"/>
            </w:tcBorders>
            <w:vAlign w:val="center"/>
          </w:tcPr>
          <w:p w:rsidR="009827A2" w:rsidRPr="00652F92" w:rsidRDefault="009827A2" w:rsidP="007065FD">
            <w:pPr>
              <w:tabs>
                <w:tab w:val="left" w:pos="-1276"/>
                <w:tab w:val="left" w:pos="851"/>
              </w:tabs>
              <w:jc w:val="both"/>
              <w:rPr>
                <w:b/>
                <w:i/>
                <w:lang w:val="ro-RO"/>
              </w:rPr>
            </w:pPr>
          </w:p>
        </w:tc>
      </w:tr>
    </w:tbl>
    <w:p w:rsidR="009827A2" w:rsidRPr="00652F92" w:rsidRDefault="009827A2" w:rsidP="00540A49">
      <w:pPr>
        <w:pStyle w:val="Heading6"/>
        <w:ind w:firstLine="960"/>
        <w:rPr>
          <w:i/>
          <w:sz w:val="24"/>
          <w:szCs w:val="24"/>
          <w:lang w:val="ro-RO"/>
        </w:rPr>
      </w:pPr>
      <w:r w:rsidRPr="00652F92">
        <w:rPr>
          <w:i/>
          <w:sz w:val="24"/>
          <w:szCs w:val="24"/>
          <w:lang w:val="ro-RO"/>
        </w:rPr>
        <w:t>Reprezentanţii instituţiei vizitate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Look w:val="0000"/>
      </w:tblPr>
      <w:tblGrid>
        <w:gridCol w:w="900"/>
        <w:gridCol w:w="3495"/>
        <w:gridCol w:w="2366"/>
        <w:gridCol w:w="1974"/>
        <w:gridCol w:w="2038"/>
      </w:tblGrid>
      <w:tr w:rsidR="009827A2" w:rsidRPr="00200A22" w:rsidTr="009827A2">
        <w:trPr>
          <w:trHeight w:val="300"/>
        </w:trPr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27A2" w:rsidRPr="00652F92" w:rsidRDefault="009827A2" w:rsidP="007065FD">
            <w:pPr>
              <w:tabs>
                <w:tab w:val="left" w:pos="-1276"/>
                <w:tab w:val="left" w:pos="851"/>
              </w:tabs>
              <w:jc w:val="center"/>
              <w:rPr>
                <w:szCs w:val="22"/>
                <w:lang w:val="ro-RO"/>
              </w:rPr>
            </w:pPr>
            <w:r w:rsidRPr="00652F92">
              <w:rPr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34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27A2" w:rsidRPr="00DA1C82" w:rsidRDefault="009827A2" w:rsidP="007065FD">
            <w:pPr>
              <w:pStyle w:val="Heading2"/>
              <w:jc w:val="center"/>
              <w:rPr>
                <w:b w:val="0"/>
                <w:lang w:val="ro-RO" w:eastAsia="en-US"/>
              </w:rPr>
            </w:pPr>
            <w:r w:rsidRPr="00DA1C82">
              <w:rPr>
                <w:b w:val="0"/>
                <w:lang w:val="ro-RO" w:eastAsia="en-US"/>
              </w:rPr>
              <w:t>Numele şi prenumele</w:t>
            </w:r>
          </w:p>
        </w:tc>
        <w:tc>
          <w:tcPr>
            <w:tcW w:w="23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27A2" w:rsidRPr="00652F92" w:rsidRDefault="009827A2" w:rsidP="007065FD">
            <w:pPr>
              <w:tabs>
                <w:tab w:val="left" w:pos="-1276"/>
                <w:tab w:val="left" w:pos="851"/>
              </w:tabs>
              <w:jc w:val="center"/>
              <w:rPr>
                <w:lang w:val="ro-RO"/>
              </w:rPr>
            </w:pPr>
            <w:r w:rsidRPr="00652F92">
              <w:rPr>
                <w:lang w:val="ro-RO"/>
              </w:rPr>
              <w:t>Calitatea</w:t>
            </w:r>
          </w:p>
        </w:tc>
        <w:tc>
          <w:tcPr>
            <w:tcW w:w="1974" w:type="dxa"/>
            <w:tcBorders>
              <w:top w:val="single" w:sz="18" w:space="0" w:color="auto"/>
              <w:bottom w:val="single" w:sz="18" w:space="0" w:color="auto"/>
            </w:tcBorders>
          </w:tcPr>
          <w:p w:rsidR="009827A2" w:rsidRPr="00652F92" w:rsidRDefault="009827A2" w:rsidP="007065FD">
            <w:pPr>
              <w:tabs>
                <w:tab w:val="left" w:pos="-1276"/>
                <w:tab w:val="left" w:pos="851"/>
              </w:tabs>
              <w:jc w:val="center"/>
              <w:rPr>
                <w:lang w:val="ro-RO"/>
              </w:rPr>
            </w:pPr>
            <w:r w:rsidRPr="00652F92">
              <w:rPr>
                <w:lang w:val="ro-RO"/>
              </w:rPr>
              <w:t>Semnătura</w:t>
            </w:r>
          </w:p>
        </w:tc>
        <w:tc>
          <w:tcPr>
            <w:tcW w:w="20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27A2" w:rsidRPr="00652F92" w:rsidRDefault="009827A2" w:rsidP="007065FD">
            <w:pPr>
              <w:tabs>
                <w:tab w:val="left" w:pos="-1276"/>
                <w:tab w:val="left" w:pos="851"/>
              </w:tabs>
              <w:jc w:val="center"/>
              <w:rPr>
                <w:lang w:val="ro-RO"/>
              </w:rPr>
            </w:pPr>
            <w:r w:rsidRPr="00652F92">
              <w:rPr>
                <w:lang w:val="ro-RO"/>
              </w:rPr>
              <w:t>Observaţii</w:t>
            </w:r>
          </w:p>
        </w:tc>
      </w:tr>
      <w:tr w:rsidR="009827A2" w:rsidRPr="00652F92" w:rsidTr="009827A2">
        <w:trPr>
          <w:trHeight w:val="392"/>
        </w:trPr>
        <w:tc>
          <w:tcPr>
            <w:tcW w:w="900" w:type="dxa"/>
            <w:tcBorders>
              <w:top w:val="nil"/>
            </w:tcBorders>
            <w:vAlign w:val="center"/>
          </w:tcPr>
          <w:p w:rsidR="009827A2" w:rsidRPr="00DA1C82" w:rsidRDefault="009827A2" w:rsidP="00540A49">
            <w:pPr>
              <w:pStyle w:val="Heading6"/>
              <w:keepNext/>
              <w:numPr>
                <w:ilvl w:val="0"/>
                <w:numId w:val="2"/>
              </w:numPr>
              <w:tabs>
                <w:tab w:val="left" w:pos="-1276"/>
                <w:tab w:val="left" w:pos="851"/>
              </w:tabs>
              <w:spacing w:before="0" w:after="0"/>
              <w:jc w:val="both"/>
              <w:rPr>
                <w:b w:val="0"/>
                <w:i/>
                <w:sz w:val="22"/>
                <w:szCs w:val="22"/>
                <w:lang w:val="ro-RO" w:eastAsia="en-US"/>
              </w:rPr>
            </w:pPr>
          </w:p>
        </w:tc>
        <w:tc>
          <w:tcPr>
            <w:tcW w:w="3495" w:type="dxa"/>
            <w:tcBorders>
              <w:top w:val="nil"/>
            </w:tcBorders>
            <w:vAlign w:val="center"/>
          </w:tcPr>
          <w:p w:rsidR="009827A2" w:rsidRPr="00652F92" w:rsidRDefault="009827A2" w:rsidP="007065FD">
            <w:pPr>
              <w:tabs>
                <w:tab w:val="left" w:pos="-1276"/>
                <w:tab w:val="left" w:pos="851"/>
              </w:tabs>
              <w:jc w:val="both"/>
              <w:rPr>
                <w:b/>
                <w:i/>
                <w:lang w:val="ro-RO"/>
              </w:rPr>
            </w:pPr>
          </w:p>
        </w:tc>
        <w:tc>
          <w:tcPr>
            <w:tcW w:w="2366" w:type="dxa"/>
            <w:tcBorders>
              <w:top w:val="nil"/>
            </w:tcBorders>
            <w:vAlign w:val="center"/>
          </w:tcPr>
          <w:p w:rsidR="009827A2" w:rsidRPr="00652F92" w:rsidRDefault="009827A2" w:rsidP="007065FD">
            <w:pPr>
              <w:pStyle w:val="Heading4"/>
              <w:spacing w:before="0" w:after="0"/>
              <w:jc w:val="center"/>
              <w:rPr>
                <w:b w:val="0"/>
                <w:i/>
                <w:sz w:val="24"/>
                <w:szCs w:val="24"/>
                <w:lang w:val="ro-RO" w:eastAsia="en-US"/>
              </w:rPr>
            </w:pPr>
            <w:r w:rsidRPr="00652F92">
              <w:rPr>
                <w:b w:val="0"/>
                <w:i/>
                <w:sz w:val="24"/>
                <w:szCs w:val="24"/>
                <w:lang w:val="ro-RO" w:eastAsia="en-US"/>
              </w:rPr>
              <w:t>Persoana de contact</w:t>
            </w:r>
          </w:p>
        </w:tc>
        <w:tc>
          <w:tcPr>
            <w:tcW w:w="1974" w:type="dxa"/>
            <w:tcBorders>
              <w:top w:val="nil"/>
            </w:tcBorders>
          </w:tcPr>
          <w:p w:rsidR="009827A2" w:rsidRPr="00652F92" w:rsidRDefault="009827A2" w:rsidP="007065FD">
            <w:pPr>
              <w:tabs>
                <w:tab w:val="left" w:pos="-1276"/>
                <w:tab w:val="left" w:pos="851"/>
              </w:tabs>
              <w:jc w:val="both"/>
              <w:rPr>
                <w:b/>
                <w:i/>
                <w:lang w:val="ro-RO"/>
              </w:rPr>
            </w:pPr>
          </w:p>
        </w:tc>
        <w:tc>
          <w:tcPr>
            <w:tcW w:w="2038" w:type="dxa"/>
            <w:tcBorders>
              <w:top w:val="nil"/>
            </w:tcBorders>
            <w:vAlign w:val="center"/>
          </w:tcPr>
          <w:p w:rsidR="009827A2" w:rsidRPr="00652F92" w:rsidRDefault="009827A2" w:rsidP="007065FD">
            <w:pPr>
              <w:tabs>
                <w:tab w:val="left" w:pos="-1276"/>
                <w:tab w:val="left" w:pos="851"/>
              </w:tabs>
              <w:jc w:val="both"/>
              <w:rPr>
                <w:b/>
                <w:i/>
                <w:lang w:val="ro-RO"/>
              </w:rPr>
            </w:pPr>
          </w:p>
        </w:tc>
      </w:tr>
      <w:tr w:rsidR="009827A2" w:rsidRPr="00652F92" w:rsidTr="009827A2">
        <w:trPr>
          <w:trHeight w:val="392"/>
        </w:trPr>
        <w:tc>
          <w:tcPr>
            <w:tcW w:w="900" w:type="dxa"/>
            <w:tcBorders>
              <w:top w:val="nil"/>
            </w:tcBorders>
            <w:vAlign w:val="center"/>
          </w:tcPr>
          <w:p w:rsidR="009827A2" w:rsidRPr="00DA1C82" w:rsidRDefault="009827A2" w:rsidP="00540A49">
            <w:pPr>
              <w:pStyle w:val="Heading6"/>
              <w:keepNext/>
              <w:numPr>
                <w:ilvl w:val="0"/>
                <w:numId w:val="2"/>
              </w:numPr>
              <w:tabs>
                <w:tab w:val="left" w:pos="-1276"/>
                <w:tab w:val="left" w:pos="851"/>
              </w:tabs>
              <w:spacing w:before="0" w:after="0"/>
              <w:jc w:val="both"/>
              <w:rPr>
                <w:b w:val="0"/>
                <w:i/>
                <w:sz w:val="22"/>
                <w:szCs w:val="22"/>
                <w:lang w:val="ro-RO" w:eastAsia="en-US"/>
              </w:rPr>
            </w:pPr>
          </w:p>
        </w:tc>
        <w:tc>
          <w:tcPr>
            <w:tcW w:w="3495" w:type="dxa"/>
            <w:tcBorders>
              <w:top w:val="nil"/>
            </w:tcBorders>
            <w:vAlign w:val="center"/>
          </w:tcPr>
          <w:p w:rsidR="009827A2" w:rsidRPr="009F1936" w:rsidRDefault="009827A2" w:rsidP="00AF3FCF">
            <w:pPr>
              <w:tabs>
                <w:tab w:val="left" w:pos="-1276"/>
                <w:tab w:val="left" w:pos="851"/>
              </w:tabs>
              <w:jc w:val="both"/>
              <w:rPr>
                <w:lang w:val="ro-RO"/>
              </w:rPr>
            </w:pPr>
          </w:p>
        </w:tc>
        <w:tc>
          <w:tcPr>
            <w:tcW w:w="2366" w:type="dxa"/>
            <w:tcBorders>
              <w:top w:val="nil"/>
            </w:tcBorders>
            <w:vAlign w:val="center"/>
          </w:tcPr>
          <w:p w:rsidR="009827A2" w:rsidRPr="00652F92" w:rsidRDefault="009827A2" w:rsidP="00AF3FCF">
            <w:pPr>
              <w:tabs>
                <w:tab w:val="left" w:pos="-1276"/>
                <w:tab w:val="left" w:pos="851"/>
              </w:tabs>
              <w:jc w:val="center"/>
              <w:rPr>
                <w:i/>
                <w:lang w:val="ro-RO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:rsidR="009827A2" w:rsidRPr="00652F92" w:rsidRDefault="009827A2" w:rsidP="007065FD">
            <w:pPr>
              <w:tabs>
                <w:tab w:val="left" w:pos="-1276"/>
                <w:tab w:val="left" w:pos="851"/>
              </w:tabs>
              <w:jc w:val="both"/>
              <w:rPr>
                <w:b/>
                <w:i/>
                <w:lang w:val="ro-RO"/>
              </w:rPr>
            </w:pPr>
          </w:p>
        </w:tc>
        <w:tc>
          <w:tcPr>
            <w:tcW w:w="2038" w:type="dxa"/>
            <w:tcBorders>
              <w:top w:val="nil"/>
            </w:tcBorders>
            <w:vAlign w:val="center"/>
          </w:tcPr>
          <w:p w:rsidR="009827A2" w:rsidRPr="00652F92" w:rsidRDefault="009827A2" w:rsidP="007065FD">
            <w:pPr>
              <w:tabs>
                <w:tab w:val="left" w:pos="-1276"/>
                <w:tab w:val="left" w:pos="851"/>
              </w:tabs>
              <w:jc w:val="both"/>
              <w:rPr>
                <w:b/>
                <w:i/>
                <w:lang w:val="ro-RO"/>
              </w:rPr>
            </w:pPr>
          </w:p>
        </w:tc>
      </w:tr>
      <w:tr w:rsidR="009827A2" w:rsidRPr="00652F92" w:rsidTr="009827A2">
        <w:trPr>
          <w:trHeight w:val="300"/>
        </w:trPr>
        <w:tc>
          <w:tcPr>
            <w:tcW w:w="900" w:type="dxa"/>
            <w:vAlign w:val="center"/>
          </w:tcPr>
          <w:p w:rsidR="009827A2" w:rsidRPr="00DA1C82" w:rsidRDefault="009827A2" w:rsidP="00540A49">
            <w:pPr>
              <w:pStyle w:val="Heading6"/>
              <w:keepNext/>
              <w:numPr>
                <w:ilvl w:val="0"/>
                <w:numId w:val="2"/>
              </w:numPr>
              <w:tabs>
                <w:tab w:val="left" w:pos="-1276"/>
                <w:tab w:val="left" w:pos="851"/>
              </w:tabs>
              <w:spacing w:before="0" w:after="0"/>
              <w:jc w:val="both"/>
              <w:rPr>
                <w:b w:val="0"/>
                <w:i/>
                <w:sz w:val="22"/>
                <w:szCs w:val="22"/>
                <w:lang w:val="ro-RO" w:eastAsia="en-US"/>
              </w:rPr>
            </w:pPr>
          </w:p>
        </w:tc>
        <w:tc>
          <w:tcPr>
            <w:tcW w:w="3495" w:type="dxa"/>
            <w:vAlign w:val="center"/>
          </w:tcPr>
          <w:p w:rsidR="009827A2" w:rsidRPr="009F1936" w:rsidRDefault="009827A2" w:rsidP="001501AC">
            <w:pPr>
              <w:tabs>
                <w:tab w:val="left" w:pos="-1276"/>
                <w:tab w:val="left" w:pos="851"/>
              </w:tabs>
              <w:jc w:val="both"/>
              <w:rPr>
                <w:highlight w:val="green"/>
                <w:lang w:val="ro-RO"/>
              </w:rPr>
            </w:pPr>
          </w:p>
        </w:tc>
        <w:tc>
          <w:tcPr>
            <w:tcW w:w="2366" w:type="dxa"/>
            <w:vAlign w:val="center"/>
          </w:tcPr>
          <w:p w:rsidR="009827A2" w:rsidRPr="00652F92" w:rsidRDefault="009827A2" w:rsidP="001501AC">
            <w:pPr>
              <w:pStyle w:val="Heading4"/>
              <w:spacing w:before="0" w:after="0"/>
              <w:jc w:val="center"/>
              <w:rPr>
                <w:b w:val="0"/>
                <w:i/>
                <w:sz w:val="24"/>
                <w:szCs w:val="24"/>
                <w:lang w:val="ro-RO" w:eastAsia="en-US"/>
              </w:rPr>
            </w:pPr>
          </w:p>
        </w:tc>
        <w:tc>
          <w:tcPr>
            <w:tcW w:w="1974" w:type="dxa"/>
          </w:tcPr>
          <w:p w:rsidR="009827A2" w:rsidRPr="00652F92" w:rsidRDefault="009827A2" w:rsidP="007065FD">
            <w:pPr>
              <w:tabs>
                <w:tab w:val="left" w:pos="-1276"/>
                <w:tab w:val="left" w:pos="851"/>
              </w:tabs>
              <w:jc w:val="both"/>
              <w:rPr>
                <w:b/>
                <w:i/>
                <w:lang w:val="ro-RO"/>
              </w:rPr>
            </w:pPr>
          </w:p>
        </w:tc>
        <w:tc>
          <w:tcPr>
            <w:tcW w:w="2038" w:type="dxa"/>
            <w:vAlign w:val="center"/>
          </w:tcPr>
          <w:p w:rsidR="009827A2" w:rsidRPr="00652F92" w:rsidRDefault="009827A2" w:rsidP="007065FD">
            <w:pPr>
              <w:tabs>
                <w:tab w:val="left" w:pos="-1276"/>
                <w:tab w:val="left" w:pos="851"/>
              </w:tabs>
              <w:jc w:val="both"/>
              <w:rPr>
                <w:b/>
                <w:i/>
                <w:lang w:val="ro-RO"/>
              </w:rPr>
            </w:pPr>
          </w:p>
        </w:tc>
      </w:tr>
    </w:tbl>
    <w:p w:rsidR="009827A2" w:rsidRPr="00652F92" w:rsidRDefault="009827A2" w:rsidP="00540A49">
      <w:pPr>
        <w:tabs>
          <w:tab w:val="left" w:pos="-1276"/>
          <w:tab w:val="left" w:pos="851"/>
        </w:tabs>
        <w:jc w:val="both"/>
        <w:rPr>
          <w:lang w:val="ro-RO"/>
        </w:rPr>
      </w:pPr>
      <w:r w:rsidRPr="00652F92">
        <w:rPr>
          <w:lang w:val="ro-RO"/>
        </w:rPr>
        <w:tab/>
      </w:r>
      <w:r w:rsidRPr="00652F92">
        <w:rPr>
          <w:lang w:val="ro-RO"/>
        </w:rPr>
        <w:tab/>
      </w:r>
      <w:r w:rsidRPr="00652F92">
        <w:rPr>
          <w:lang w:val="ro-RO"/>
        </w:rPr>
        <w:tab/>
      </w:r>
      <w:r w:rsidRPr="00652F92">
        <w:rPr>
          <w:lang w:val="ro-RO"/>
        </w:rPr>
        <w:tab/>
      </w:r>
      <w:r w:rsidRPr="00652F92">
        <w:rPr>
          <w:lang w:val="ro-RO"/>
        </w:rPr>
        <w:tab/>
      </w:r>
      <w:r w:rsidRPr="00652F92">
        <w:rPr>
          <w:lang w:val="ro-RO"/>
        </w:rPr>
        <w:tab/>
        <w:t>(ştampila unităţii vizitate)</w:t>
      </w:r>
      <w:r w:rsidRPr="00652F92">
        <w:rPr>
          <w:lang w:val="ro-RO"/>
        </w:rPr>
        <w:tab/>
      </w:r>
      <w:r w:rsidRPr="00652F92">
        <w:rPr>
          <w:lang w:val="ro-RO"/>
        </w:rPr>
        <w:tab/>
        <w:t>L.S.</w:t>
      </w:r>
      <w:r w:rsidRPr="00652F92">
        <w:rPr>
          <w:lang w:val="ro-RO"/>
        </w:rPr>
        <w:tab/>
      </w:r>
      <w:r w:rsidRPr="00652F92">
        <w:rPr>
          <w:lang w:val="ro-RO"/>
        </w:rPr>
        <w:tab/>
      </w:r>
    </w:p>
    <w:p w:rsidR="009827A2" w:rsidRDefault="009827A2" w:rsidP="00540A49">
      <w:pPr>
        <w:tabs>
          <w:tab w:val="left" w:pos="-1276"/>
          <w:tab w:val="left" w:pos="851"/>
        </w:tabs>
        <w:jc w:val="both"/>
        <w:rPr>
          <w:sz w:val="16"/>
          <w:szCs w:val="16"/>
          <w:lang w:val="ro-RO"/>
        </w:rPr>
      </w:pPr>
    </w:p>
    <w:p w:rsidR="009827A2" w:rsidRPr="00652F92" w:rsidRDefault="009827A2" w:rsidP="00540A49">
      <w:pPr>
        <w:tabs>
          <w:tab w:val="left" w:pos="-1276"/>
          <w:tab w:val="left" w:pos="851"/>
        </w:tabs>
        <w:jc w:val="both"/>
        <w:rPr>
          <w:sz w:val="16"/>
          <w:szCs w:val="16"/>
          <w:lang w:val="ro-RO"/>
        </w:rPr>
      </w:pPr>
    </w:p>
    <w:p w:rsidR="009827A2" w:rsidRPr="00C82114" w:rsidRDefault="009827A2" w:rsidP="00540A49">
      <w:pPr>
        <w:jc w:val="both"/>
        <w:rPr>
          <w:lang w:val="it-IT"/>
        </w:rPr>
      </w:pPr>
      <w:r w:rsidRPr="00652F92">
        <w:rPr>
          <w:lang w:val="ro-RO"/>
        </w:rPr>
        <w:tab/>
        <w:t xml:space="preserve">Constatările din </w:t>
      </w:r>
      <w:r w:rsidRPr="00652F92">
        <w:rPr>
          <w:i/>
          <w:lang w:val="ro-RO"/>
        </w:rPr>
        <w:t>Fişa vizitei</w:t>
      </w:r>
      <w:r w:rsidRPr="00652F92">
        <w:rPr>
          <w:lang w:val="ro-RO"/>
        </w:rPr>
        <w:t xml:space="preserve"> şi din </w:t>
      </w:r>
      <w:r w:rsidRPr="00652F92">
        <w:rPr>
          <w:i/>
          <w:lang w:val="ro-RO"/>
        </w:rPr>
        <w:t>Anexele justificative</w:t>
      </w:r>
      <w:r w:rsidRPr="00652F92">
        <w:rPr>
          <w:lang w:val="ro-RO"/>
        </w:rPr>
        <w:t xml:space="preserve"> au fost aduse la cunoştinţa reprezentanţilor unităţii vizitate. O copie a </w:t>
      </w:r>
      <w:r w:rsidRPr="00652F92">
        <w:rPr>
          <w:i/>
          <w:lang w:val="ro-RO"/>
        </w:rPr>
        <w:t>Fişei vizitei</w:t>
      </w:r>
      <w:r w:rsidRPr="00652F92">
        <w:rPr>
          <w:lang w:val="ro-RO"/>
        </w:rPr>
        <w:t xml:space="preserve"> poate fi pusă la dispoziţia instituţiei vizitate, la cerere.</w:t>
      </w:r>
    </w:p>
    <w:p w:rsidR="00E21164" w:rsidRPr="00745A4B" w:rsidRDefault="00E21164" w:rsidP="00E21164">
      <w:pPr>
        <w:tabs>
          <w:tab w:val="left" w:pos="4260"/>
        </w:tabs>
        <w:rPr>
          <w:lang w:val="fr-FR"/>
        </w:rPr>
      </w:pPr>
    </w:p>
    <w:sectPr w:rsidR="00E21164" w:rsidRPr="00745A4B" w:rsidSect="007E4DAB">
      <w:headerReference w:type="default" r:id="rId8"/>
      <w:footerReference w:type="default" r:id="rId9"/>
      <w:pgSz w:w="16838" w:h="11906" w:orient="landscape"/>
      <w:pgMar w:top="1843" w:right="1245" w:bottom="709" w:left="1440" w:header="0" w:footer="4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379" w:rsidRDefault="00BA0379" w:rsidP="009B651D">
      <w:r>
        <w:separator/>
      </w:r>
    </w:p>
  </w:endnote>
  <w:endnote w:type="continuationSeparator" w:id="0">
    <w:p w:rsidR="00BA0379" w:rsidRDefault="00BA0379" w:rsidP="009B6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247873"/>
      <w:docPartObj>
        <w:docPartGallery w:val="Page Numbers (Bottom of Page)"/>
        <w:docPartUnique/>
      </w:docPartObj>
    </w:sdtPr>
    <w:sdtContent>
      <w:p w:rsidR="00E21164" w:rsidRDefault="007E4DAB" w:rsidP="007E4DAB"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379" w:rsidRDefault="00BA0379" w:rsidP="009B651D">
      <w:r>
        <w:separator/>
      </w:r>
    </w:p>
  </w:footnote>
  <w:footnote w:type="continuationSeparator" w:id="0">
    <w:p w:rsidR="00BA0379" w:rsidRDefault="00BA0379" w:rsidP="009B6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794" w:rsidRDefault="003B6221" w:rsidP="006B61E4">
    <w:pPr>
      <w:pStyle w:val="Header"/>
      <w:ind w:left="-1411" w:firstLine="571"/>
    </w:pPr>
    <w:r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22" type="#_x0000_t32" style="position:absolute;left:0;text-align:left;margin-left:0;margin-top:84.1pt;width:708pt;height:0;z-index:251658240" o:connectortype="straight" strokecolor="#009"/>
      </w:pict>
    </w:r>
    <w:r w:rsidR="00E63794" w:rsidRPr="00E63794">
      <w:rPr>
        <w:noProof/>
        <w:lang w:val="en-US"/>
      </w:rPr>
      <w:drawing>
        <wp:inline distT="0" distB="0" distL="0" distR="0">
          <wp:extent cx="10068460" cy="1162050"/>
          <wp:effectExtent l="19050" t="0" r="899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5937" cy="1179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0385C"/>
    <w:multiLevelType w:val="singleLevel"/>
    <w:tmpl w:val="524467D2"/>
    <w:lvl w:ilvl="0">
      <w:start w:val="1"/>
      <w:numFmt w:val="decimal"/>
      <w:lvlText w:val="%1."/>
      <w:lvlJc w:val="center"/>
      <w:pPr>
        <w:tabs>
          <w:tab w:val="num" w:pos="814"/>
        </w:tabs>
        <w:ind w:firstLine="454"/>
      </w:pPr>
      <w:rPr>
        <w:rFonts w:cs="Times New Roman"/>
      </w:rPr>
    </w:lvl>
  </w:abstractNum>
  <w:abstractNum w:abstractNumId="1">
    <w:nsid w:val="6E1C740F"/>
    <w:multiLevelType w:val="hybridMultilevel"/>
    <w:tmpl w:val="80C6A5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6082">
      <o:colormenu v:ext="edit" strokecolor="#009"/>
    </o:shapedefaults>
    <o:shapelayout v:ext="edit">
      <o:idmap v:ext="edit" data="30"/>
      <o:rules v:ext="edit">
        <o:r id="V:Rule2" type="connector" idref="#_x0000_s3072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137C4"/>
    <w:rsid w:val="00014CBC"/>
    <w:rsid w:val="00021333"/>
    <w:rsid w:val="000311AC"/>
    <w:rsid w:val="00031D42"/>
    <w:rsid w:val="00034F45"/>
    <w:rsid w:val="00036AA6"/>
    <w:rsid w:val="0005540A"/>
    <w:rsid w:val="00057777"/>
    <w:rsid w:val="000649AB"/>
    <w:rsid w:val="00075132"/>
    <w:rsid w:val="000821B5"/>
    <w:rsid w:val="00087694"/>
    <w:rsid w:val="000A2703"/>
    <w:rsid w:val="000B2740"/>
    <w:rsid w:val="000C1E96"/>
    <w:rsid w:val="000D3D9C"/>
    <w:rsid w:val="000E0B15"/>
    <w:rsid w:val="000E2DDD"/>
    <w:rsid w:val="0012444D"/>
    <w:rsid w:val="00124BA5"/>
    <w:rsid w:val="00127B27"/>
    <w:rsid w:val="00150016"/>
    <w:rsid w:val="00155A58"/>
    <w:rsid w:val="001900BD"/>
    <w:rsid w:val="00194A61"/>
    <w:rsid w:val="00195DD9"/>
    <w:rsid w:val="001D6822"/>
    <w:rsid w:val="001E68C3"/>
    <w:rsid w:val="001F18AC"/>
    <w:rsid w:val="001F2C66"/>
    <w:rsid w:val="001F3629"/>
    <w:rsid w:val="002136A8"/>
    <w:rsid w:val="002137C4"/>
    <w:rsid w:val="00223D9D"/>
    <w:rsid w:val="0023516A"/>
    <w:rsid w:val="002575BF"/>
    <w:rsid w:val="00282B36"/>
    <w:rsid w:val="0029067E"/>
    <w:rsid w:val="002933FF"/>
    <w:rsid w:val="00294387"/>
    <w:rsid w:val="00296C68"/>
    <w:rsid w:val="002B39A7"/>
    <w:rsid w:val="002C103D"/>
    <w:rsid w:val="00302AB3"/>
    <w:rsid w:val="00307D34"/>
    <w:rsid w:val="00307E3D"/>
    <w:rsid w:val="00316E1A"/>
    <w:rsid w:val="003215FE"/>
    <w:rsid w:val="00326494"/>
    <w:rsid w:val="00343B6B"/>
    <w:rsid w:val="0034581B"/>
    <w:rsid w:val="00345C9B"/>
    <w:rsid w:val="00361172"/>
    <w:rsid w:val="003821BE"/>
    <w:rsid w:val="00391841"/>
    <w:rsid w:val="003B4302"/>
    <w:rsid w:val="003B6221"/>
    <w:rsid w:val="003C3D71"/>
    <w:rsid w:val="003C536A"/>
    <w:rsid w:val="003D2147"/>
    <w:rsid w:val="003D35E7"/>
    <w:rsid w:val="003D5B08"/>
    <w:rsid w:val="003F474D"/>
    <w:rsid w:val="00401653"/>
    <w:rsid w:val="00411210"/>
    <w:rsid w:val="00417625"/>
    <w:rsid w:val="00453145"/>
    <w:rsid w:val="00456570"/>
    <w:rsid w:val="0046249F"/>
    <w:rsid w:val="00493A4D"/>
    <w:rsid w:val="004A1DC0"/>
    <w:rsid w:val="004A7657"/>
    <w:rsid w:val="004C468E"/>
    <w:rsid w:val="004E1FA4"/>
    <w:rsid w:val="004E677A"/>
    <w:rsid w:val="004E7514"/>
    <w:rsid w:val="004E7B00"/>
    <w:rsid w:val="004F7B1B"/>
    <w:rsid w:val="00514B9E"/>
    <w:rsid w:val="00545FED"/>
    <w:rsid w:val="0056005F"/>
    <w:rsid w:val="00563596"/>
    <w:rsid w:val="00571D96"/>
    <w:rsid w:val="005752D6"/>
    <w:rsid w:val="0059200B"/>
    <w:rsid w:val="00595259"/>
    <w:rsid w:val="005A703C"/>
    <w:rsid w:val="005D3632"/>
    <w:rsid w:val="0061577A"/>
    <w:rsid w:val="006372C0"/>
    <w:rsid w:val="00654CB8"/>
    <w:rsid w:val="00676C6D"/>
    <w:rsid w:val="00686E53"/>
    <w:rsid w:val="006A44E7"/>
    <w:rsid w:val="006B06CB"/>
    <w:rsid w:val="006B2E2D"/>
    <w:rsid w:val="006B61E4"/>
    <w:rsid w:val="006D596C"/>
    <w:rsid w:val="00705E10"/>
    <w:rsid w:val="00707C29"/>
    <w:rsid w:val="00731B8A"/>
    <w:rsid w:val="0073334B"/>
    <w:rsid w:val="00736107"/>
    <w:rsid w:val="007409EA"/>
    <w:rsid w:val="007422F2"/>
    <w:rsid w:val="00745A4B"/>
    <w:rsid w:val="007819DE"/>
    <w:rsid w:val="00781F3A"/>
    <w:rsid w:val="007A0DA8"/>
    <w:rsid w:val="007B2069"/>
    <w:rsid w:val="007C6338"/>
    <w:rsid w:val="007D3DF3"/>
    <w:rsid w:val="007E4C0E"/>
    <w:rsid w:val="007E4DAB"/>
    <w:rsid w:val="008045DC"/>
    <w:rsid w:val="008066BA"/>
    <w:rsid w:val="00816074"/>
    <w:rsid w:val="00836284"/>
    <w:rsid w:val="00843552"/>
    <w:rsid w:val="0084427E"/>
    <w:rsid w:val="008472D8"/>
    <w:rsid w:val="008529B9"/>
    <w:rsid w:val="0087226D"/>
    <w:rsid w:val="0087321C"/>
    <w:rsid w:val="00876673"/>
    <w:rsid w:val="00877283"/>
    <w:rsid w:val="0088443D"/>
    <w:rsid w:val="0089204B"/>
    <w:rsid w:val="00894C57"/>
    <w:rsid w:val="008A4CD8"/>
    <w:rsid w:val="008D7228"/>
    <w:rsid w:val="008E3067"/>
    <w:rsid w:val="008F196D"/>
    <w:rsid w:val="008F28A3"/>
    <w:rsid w:val="0091427D"/>
    <w:rsid w:val="0092048F"/>
    <w:rsid w:val="0092681B"/>
    <w:rsid w:val="0092782F"/>
    <w:rsid w:val="00931F63"/>
    <w:rsid w:val="00935088"/>
    <w:rsid w:val="009376F5"/>
    <w:rsid w:val="009501FA"/>
    <w:rsid w:val="00963EC2"/>
    <w:rsid w:val="00973634"/>
    <w:rsid w:val="00980208"/>
    <w:rsid w:val="009827A2"/>
    <w:rsid w:val="00994EF7"/>
    <w:rsid w:val="009A42A1"/>
    <w:rsid w:val="009B651D"/>
    <w:rsid w:val="009B7724"/>
    <w:rsid w:val="009D33D0"/>
    <w:rsid w:val="009D76D6"/>
    <w:rsid w:val="00A06F5D"/>
    <w:rsid w:val="00A11188"/>
    <w:rsid w:val="00A13297"/>
    <w:rsid w:val="00A143BE"/>
    <w:rsid w:val="00A30960"/>
    <w:rsid w:val="00A56639"/>
    <w:rsid w:val="00A6277B"/>
    <w:rsid w:val="00A84CF5"/>
    <w:rsid w:val="00A873F3"/>
    <w:rsid w:val="00A953BF"/>
    <w:rsid w:val="00A9710F"/>
    <w:rsid w:val="00AA1718"/>
    <w:rsid w:val="00AA2395"/>
    <w:rsid w:val="00AD0A5D"/>
    <w:rsid w:val="00AD3E3B"/>
    <w:rsid w:val="00AF27A0"/>
    <w:rsid w:val="00B00D11"/>
    <w:rsid w:val="00B1373B"/>
    <w:rsid w:val="00B3593E"/>
    <w:rsid w:val="00B45B0B"/>
    <w:rsid w:val="00B60142"/>
    <w:rsid w:val="00B634C3"/>
    <w:rsid w:val="00B75E2B"/>
    <w:rsid w:val="00B8063F"/>
    <w:rsid w:val="00B8425B"/>
    <w:rsid w:val="00B84576"/>
    <w:rsid w:val="00BA0379"/>
    <w:rsid w:val="00BA0954"/>
    <w:rsid w:val="00BA379C"/>
    <w:rsid w:val="00BB714D"/>
    <w:rsid w:val="00BC6EFA"/>
    <w:rsid w:val="00BD19A8"/>
    <w:rsid w:val="00BD61B3"/>
    <w:rsid w:val="00BE623D"/>
    <w:rsid w:val="00C064EF"/>
    <w:rsid w:val="00C21A83"/>
    <w:rsid w:val="00C36C64"/>
    <w:rsid w:val="00C37C3F"/>
    <w:rsid w:val="00C40F27"/>
    <w:rsid w:val="00C41043"/>
    <w:rsid w:val="00C432E5"/>
    <w:rsid w:val="00C577FD"/>
    <w:rsid w:val="00C67373"/>
    <w:rsid w:val="00C73098"/>
    <w:rsid w:val="00C944F0"/>
    <w:rsid w:val="00CA45C6"/>
    <w:rsid w:val="00CB260E"/>
    <w:rsid w:val="00CD53CC"/>
    <w:rsid w:val="00CD787C"/>
    <w:rsid w:val="00D012FC"/>
    <w:rsid w:val="00D03E87"/>
    <w:rsid w:val="00D102EA"/>
    <w:rsid w:val="00D1312A"/>
    <w:rsid w:val="00D3530B"/>
    <w:rsid w:val="00D53A3E"/>
    <w:rsid w:val="00D62BF2"/>
    <w:rsid w:val="00D9172A"/>
    <w:rsid w:val="00D954B5"/>
    <w:rsid w:val="00DA7CB4"/>
    <w:rsid w:val="00DF7051"/>
    <w:rsid w:val="00E05C97"/>
    <w:rsid w:val="00E21164"/>
    <w:rsid w:val="00E220EE"/>
    <w:rsid w:val="00E40AE2"/>
    <w:rsid w:val="00E418AF"/>
    <w:rsid w:val="00E50E5A"/>
    <w:rsid w:val="00E5445D"/>
    <w:rsid w:val="00E63794"/>
    <w:rsid w:val="00E64A56"/>
    <w:rsid w:val="00E97A91"/>
    <w:rsid w:val="00EA6E45"/>
    <w:rsid w:val="00EB6069"/>
    <w:rsid w:val="00EC6A00"/>
    <w:rsid w:val="00ED57A3"/>
    <w:rsid w:val="00EE7FE7"/>
    <w:rsid w:val="00F06CB8"/>
    <w:rsid w:val="00F3457F"/>
    <w:rsid w:val="00F54719"/>
    <w:rsid w:val="00F73728"/>
    <w:rsid w:val="00F757E4"/>
    <w:rsid w:val="00F92205"/>
    <w:rsid w:val="00FD5919"/>
    <w:rsid w:val="00FE3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strokecolor="#009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o-RO"/>
    </w:rPr>
  </w:style>
  <w:style w:type="paragraph" w:styleId="Heading1">
    <w:name w:val="heading 1"/>
    <w:basedOn w:val="Normal"/>
    <w:next w:val="Normal"/>
    <w:link w:val="Heading1Char"/>
    <w:qFormat/>
    <w:rsid w:val="009827A2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827A2"/>
    <w:pPr>
      <w:keepNext/>
      <w:overflowPunct/>
      <w:autoSpaceDE/>
      <w:autoSpaceDN/>
      <w:adjustRightInd/>
      <w:jc w:val="both"/>
      <w:textAlignment w:val="auto"/>
      <w:outlineLvl w:val="1"/>
    </w:pPr>
    <w:rPr>
      <w:rFonts w:eastAsia="Calibri"/>
      <w:b/>
      <w:bCs/>
      <w:color w:val="000000"/>
      <w:szCs w:val="24"/>
    </w:rPr>
  </w:style>
  <w:style w:type="paragraph" w:styleId="Heading4">
    <w:name w:val="heading 4"/>
    <w:basedOn w:val="Normal"/>
    <w:next w:val="Normal"/>
    <w:link w:val="Heading4Char"/>
    <w:qFormat/>
    <w:rsid w:val="009827A2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rFonts w:eastAsia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9827A2"/>
    <w:pPr>
      <w:overflowPunct/>
      <w:autoSpaceDE/>
      <w:autoSpaceDN/>
      <w:adjustRightInd/>
      <w:spacing w:before="240" w:after="60"/>
      <w:textAlignment w:val="auto"/>
      <w:outlineLvl w:val="5"/>
    </w:pPr>
    <w:rPr>
      <w:rFonts w:eastAsia="Calibri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B651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HeaderChar">
    <w:name w:val="Header Char"/>
    <w:basedOn w:val="DefaultParagraphFont"/>
    <w:link w:val="Header"/>
    <w:rsid w:val="009B651D"/>
  </w:style>
  <w:style w:type="paragraph" w:styleId="Footer">
    <w:name w:val="footer"/>
    <w:basedOn w:val="Normal"/>
    <w:link w:val="FooterChar"/>
    <w:uiPriority w:val="99"/>
    <w:unhideWhenUsed/>
    <w:rsid w:val="009B651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B651D"/>
  </w:style>
  <w:style w:type="paragraph" w:styleId="BalloonText">
    <w:name w:val="Balloon Text"/>
    <w:basedOn w:val="Normal"/>
    <w:link w:val="BalloonTextChar"/>
    <w:uiPriority w:val="99"/>
    <w:semiHidden/>
    <w:unhideWhenUsed/>
    <w:rsid w:val="009B651D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val="ro-RO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5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6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9827A2"/>
    <w:rPr>
      <w:rFonts w:ascii="Arial" w:eastAsia="Calibri" w:hAnsi="Arial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9827A2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827A2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rsid w:val="009827A2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9827A2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27A2"/>
    <w:rPr>
      <w:rFonts w:ascii="Times New Roman" w:eastAsia="Calibri" w:hAnsi="Times New Roman" w:cs="Times New Roman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CCB8D-46CB-46DC-8DAF-3A673525B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Eni</dc:creator>
  <cp:lastModifiedBy>Mircea</cp:lastModifiedBy>
  <cp:revision>9</cp:revision>
  <cp:lastPrinted>2014-06-10T11:27:00Z</cp:lastPrinted>
  <dcterms:created xsi:type="dcterms:W3CDTF">2015-01-25T08:25:00Z</dcterms:created>
  <dcterms:modified xsi:type="dcterms:W3CDTF">2015-02-05T08:31:00Z</dcterms:modified>
</cp:coreProperties>
</file>