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E4" w:rsidRPr="006B61E4" w:rsidRDefault="006B61E4" w:rsidP="006B61E4">
      <w:pPr>
        <w:jc w:val="both"/>
        <w:rPr>
          <w:rFonts w:ascii="Arial" w:hAnsi="Arial" w:cs="Arial"/>
          <w:b/>
          <w:bCs/>
          <w:color w:val="000099"/>
          <w:sz w:val="18"/>
          <w:szCs w:val="18"/>
          <w:lang w:val="ro-RO"/>
        </w:rPr>
      </w:pPr>
      <w:r w:rsidRPr="006B61E4">
        <w:rPr>
          <w:rFonts w:ascii="Arial" w:hAnsi="Arial" w:cs="Arial"/>
          <w:b/>
          <w:bCs/>
          <w:color w:val="000099"/>
          <w:sz w:val="18"/>
          <w:szCs w:val="18"/>
          <w:lang w:val="ro-RO"/>
        </w:rPr>
        <w:t>Investeşte în oameni!</w:t>
      </w:r>
    </w:p>
    <w:p w:rsidR="006B61E4" w:rsidRPr="006B61E4" w:rsidRDefault="006B61E4" w:rsidP="006B61E4">
      <w:pPr>
        <w:jc w:val="both"/>
        <w:rPr>
          <w:rFonts w:ascii="Arial" w:hAnsi="Arial" w:cs="Arial"/>
          <w:bCs/>
          <w:color w:val="000099"/>
          <w:sz w:val="18"/>
          <w:szCs w:val="18"/>
          <w:lang w:val="ro-RO"/>
        </w:rPr>
      </w:pPr>
      <w:r w:rsidRPr="006B61E4">
        <w:rPr>
          <w:rFonts w:ascii="Arial" w:hAnsi="Arial" w:cs="Arial"/>
          <w:bCs/>
          <w:color w:val="000099"/>
          <w:sz w:val="18"/>
          <w:szCs w:val="18"/>
          <w:lang w:val="ro-RO"/>
        </w:rPr>
        <w:t>Proiect cofinanţat din Fondul Social European prin</w:t>
      </w:r>
      <w:r w:rsidRPr="006B61E4">
        <w:rPr>
          <w:rFonts w:ascii="Arial" w:hAnsi="Arial" w:cs="Arial"/>
          <w:b/>
          <w:bCs/>
          <w:color w:val="000099"/>
          <w:sz w:val="18"/>
          <w:szCs w:val="18"/>
          <w:lang w:val="ro-RO"/>
        </w:rPr>
        <w:t xml:space="preserve"> </w:t>
      </w:r>
      <w:r w:rsidRPr="006B61E4">
        <w:rPr>
          <w:rFonts w:ascii="Arial" w:hAnsi="Arial" w:cs="Arial"/>
          <w:bCs/>
          <w:color w:val="000099"/>
          <w:sz w:val="18"/>
          <w:szCs w:val="18"/>
          <w:lang w:val="ro-RO"/>
        </w:rPr>
        <w:t>Programul Operaţional Sectorial Dezvoltarea Resurselor Umane 2007 – 2013</w:t>
      </w:r>
    </w:p>
    <w:p w:rsidR="006B61E4" w:rsidRPr="006B61E4" w:rsidRDefault="006B61E4" w:rsidP="006B61E4">
      <w:pPr>
        <w:jc w:val="both"/>
        <w:rPr>
          <w:rFonts w:ascii="Arial" w:hAnsi="Arial" w:cs="Arial"/>
          <w:b/>
          <w:bCs/>
          <w:color w:val="000099"/>
          <w:sz w:val="18"/>
          <w:szCs w:val="18"/>
          <w:lang w:val="ro-RO"/>
        </w:rPr>
      </w:pPr>
      <w:r w:rsidRPr="006B61E4">
        <w:rPr>
          <w:rFonts w:ascii="Arial" w:hAnsi="Arial" w:cs="Arial"/>
          <w:bCs/>
          <w:color w:val="000099"/>
          <w:sz w:val="18"/>
          <w:szCs w:val="18"/>
          <w:lang w:val="ro-RO"/>
        </w:rPr>
        <w:t xml:space="preserve">Axa prioritară </w:t>
      </w:r>
      <w:r w:rsidRPr="006B61E4">
        <w:rPr>
          <w:rFonts w:ascii="Arial" w:hAnsi="Arial" w:cs="Arial"/>
          <w:b/>
          <w:bCs/>
          <w:color w:val="000099"/>
          <w:sz w:val="18"/>
          <w:szCs w:val="18"/>
          <w:lang w:val="ro-RO"/>
        </w:rPr>
        <w:t>1 „Educaţia şi formarea profesională în sprijinul creşterii economice şi dezvoltării societăţii bazate pe cunoaştere”</w:t>
      </w:r>
      <w:r w:rsidR="006B06CB" w:rsidRPr="006B06CB">
        <w:rPr>
          <w:noProof/>
          <w:color w:val="000000" w:themeColor="text1"/>
          <w:sz w:val="20"/>
          <w:lang w:eastAsia="en-US"/>
        </w:rPr>
        <w:t xml:space="preserve"> </w:t>
      </w:r>
    </w:p>
    <w:p w:rsidR="006B61E4" w:rsidRPr="006B61E4" w:rsidRDefault="006B61E4" w:rsidP="006B61E4">
      <w:pPr>
        <w:jc w:val="both"/>
        <w:rPr>
          <w:rFonts w:ascii="Arial" w:hAnsi="Arial" w:cs="Arial"/>
          <w:b/>
          <w:color w:val="000099"/>
          <w:sz w:val="18"/>
          <w:szCs w:val="18"/>
          <w:lang w:val="ro-RO"/>
        </w:rPr>
      </w:pPr>
      <w:r w:rsidRPr="006B61E4">
        <w:rPr>
          <w:rFonts w:ascii="Arial" w:hAnsi="Arial" w:cs="Arial"/>
          <w:color w:val="000099"/>
          <w:sz w:val="18"/>
          <w:szCs w:val="18"/>
          <w:lang w:val="ro-RO"/>
        </w:rPr>
        <w:t>Domeniul major de intervenţie</w:t>
      </w:r>
      <w:r w:rsidRPr="006B61E4">
        <w:rPr>
          <w:rFonts w:ascii="Arial" w:hAnsi="Arial" w:cs="Arial"/>
          <w:b/>
          <w:color w:val="000099"/>
          <w:sz w:val="18"/>
          <w:szCs w:val="18"/>
          <w:lang w:val="ro-RO"/>
        </w:rPr>
        <w:t xml:space="preserve"> 1.2 „Calitate în învăţământul superior”</w:t>
      </w:r>
    </w:p>
    <w:p w:rsidR="006B61E4" w:rsidRPr="006B61E4" w:rsidRDefault="006B61E4" w:rsidP="006B61E4">
      <w:pPr>
        <w:jc w:val="both"/>
        <w:rPr>
          <w:rFonts w:ascii="Arial" w:hAnsi="Arial" w:cs="Arial"/>
          <w:b/>
          <w:color w:val="000099"/>
          <w:sz w:val="18"/>
          <w:szCs w:val="18"/>
          <w:lang w:val="ro-RO"/>
        </w:rPr>
      </w:pPr>
      <w:r w:rsidRPr="006B61E4">
        <w:rPr>
          <w:rFonts w:ascii="Arial" w:hAnsi="Arial" w:cs="Arial"/>
          <w:b/>
          <w:color w:val="000099"/>
          <w:sz w:val="18"/>
          <w:szCs w:val="18"/>
          <w:lang w:val="ro-RO"/>
        </w:rPr>
        <w:t>Titlul proiectului „Dezvoltarea şi consolidarea culturii calităţii la nivelul sistemului de învăţământ superior românesc - QUALITAS”</w:t>
      </w:r>
    </w:p>
    <w:p w:rsidR="006B61E4" w:rsidRPr="006B61E4" w:rsidRDefault="006B61E4" w:rsidP="006B61E4">
      <w:pPr>
        <w:jc w:val="both"/>
        <w:rPr>
          <w:rFonts w:ascii="Arial" w:hAnsi="Arial" w:cs="Arial"/>
          <w:color w:val="000099"/>
          <w:sz w:val="18"/>
          <w:szCs w:val="18"/>
          <w:lang w:val="ro-RO"/>
        </w:rPr>
      </w:pPr>
      <w:r w:rsidRPr="006B61E4">
        <w:rPr>
          <w:rFonts w:ascii="Arial" w:hAnsi="Arial" w:cs="Arial"/>
          <w:color w:val="000099"/>
          <w:sz w:val="18"/>
          <w:szCs w:val="18"/>
          <w:lang w:val="ro-RO"/>
        </w:rPr>
        <w:t>Contract POSDRU/155/1.2/S/141894</w:t>
      </w:r>
    </w:p>
    <w:p w:rsidR="006B61E4" w:rsidRPr="006B61E4" w:rsidRDefault="001B243B" w:rsidP="006B61E4">
      <w:pPr>
        <w:rPr>
          <w:rFonts w:ascii="Arial" w:hAnsi="Arial" w:cs="Arial"/>
          <w:color w:val="FF0000"/>
          <w:sz w:val="18"/>
          <w:szCs w:val="18"/>
        </w:rPr>
      </w:pPr>
      <w:r w:rsidRPr="001B243B">
        <w:rPr>
          <w:noProof/>
          <w:lang w:eastAsia="en-US"/>
        </w:rPr>
        <w:pict>
          <v:shapetype id="_x0000_t32" coordsize="21600,21600" o:spt="32" o:oned="t" path="m,l21600,21600e" filled="f">
            <v:path arrowok="t" fillok="f" o:connecttype="none"/>
            <o:lock v:ext="edit" shapetype="t"/>
          </v:shapetype>
          <v:shape id="_x0000_s1026" type="#_x0000_t32" style="position:absolute;margin-left:0;margin-top:7.7pt;width:708pt;height:0;z-index:251658240" o:connectortype="straight" strokecolor="#009"/>
        </w:pict>
      </w:r>
    </w:p>
    <w:p w:rsidR="00D1312A" w:rsidRDefault="00D1312A" w:rsidP="00E21164">
      <w:pPr>
        <w:tabs>
          <w:tab w:val="left" w:pos="4260"/>
        </w:tabs>
        <w:rPr>
          <w:sz w:val="18"/>
          <w:szCs w:val="18"/>
        </w:rPr>
      </w:pPr>
    </w:p>
    <w:p w:rsidR="00B73BBC" w:rsidRDefault="00B73BBC" w:rsidP="00885BCC">
      <w:pPr>
        <w:pStyle w:val="Heading9"/>
        <w:spacing w:after="120"/>
        <w:jc w:val="center"/>
        <w:rPr>
          <w:rFonts w:ascii="Times New Roman" w:hAnsi="Times New Roman"/>
          <w:b/>
          <w:i/>
          <w:sz w:val="28"/>
          <w:szCs w:val="28"/>
          <w:lang w:val="ro-RO"/>
        </w:rPr>
      </w:pPr>
      <w:r>
        <w:rPr>
          <w:rFonts w:ascii="Times New Roman" w:hAnsi="Times New Roman"/>
          <w:b/>
          <w:i/>
          <w:sz w:val="28"/>
          <w:szCs w:val="28"/>
          <w:lang w:val="ro-RO"/>
        </w:rPr>
        <w:t>A ) CERINŢE NORMATIVE OBLIGATORII</w:t>
      </w:r>
    </w:p>
    <w:p w:rsidR="00B73BBC" w:rsidRPr="00DA5016" w:rsidRDefault="00B73BBC" w:rsidP="00885BCC">
      <w:pPr>
        <w:rPr>
          <w:sz w:val="16"/>
          <w:szCs w:val="16"/>
          <w:lang w:val="ro-RO"/>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8"/>
        <w:gridCol w:w="6829"/>
      </w:tblGrid>
      <w:tr w:rsidR="00B73BBC" w:rsidRPr="00985E74" w:rsidTr="00B73BBC">
        <w:trPr>
          <w:trHeight w:val="525"/>
        </w:trPr>
        <w:tc>
          <w:tcPr>
            <w:tcW w:w="7488" w:type="dxa"/>
            <w:shd w:val="clear" w:color="auto" w:fill="D9D9D9"/>
            <w:vAlign w:val="center"/>
          </w:tcPr>
          <w:p w:rsidR="00B73BBC" w:rsidRPr="007633BD" w:rsidRDefault="00B73BBC" w:rsidP="00AF750B">
            <w:pPr>
              <w:pStyle w:val="Heading2"/>
              <w:jc w:val="left"/>
              <w:rPr>
                <w:i/>
                <w:lang w:val="ro-RO" w:eastAsia="en-US"/>
              </w:rPr>
            </w:pPr>
            <w:r w:rsidRPr="007633BD">
              <w:rPr>
                <w:lang w:val="ro-RO" w:eastAsia="en-US"/>
              </w:rPr>
              <w:t xml:space="preserve">I.  CADRUL  JURIDIC  DE ORGANIZARE ŞI FUNCŢIONARE, </w:t>
            </w:r>
            <w:r w:rsidRPr="007633BD">
              <w:rPr>
                <w:caps/>
                <w:lang w:val="ro-RO" w:eastAsia="en-US"/>
              </w:rPr>
              <w:t>misiunea  şi obiectivele</w:t>
            </w:r>
            <w:r w:rsidRPr="007633BD">
              <w:rPr>
                <w:lang w:val="ro-RO" w:eastAsia="en-US"/>
              </w:rPr>
              <w:t xml:space="preserve"> INSTITUŢIEI</w:t>
            </w:r>
          </w:p>
        </w:tc>
        <w:tc>
          <w:tcPr>
            <w:tcW w:w="6829" w:type="dxa"/>
            <w:shd w:val="clear" w:color="auto" w:fill="CCCCCC"/>
            <w:vAlign w:val="center"/>
          </w:tcPr>
          <w:p w:rsidR="00B73BBC" w:rsidRDefault="00B73BBC" w:rsidP="00AF750B">
            <w:pPr>
              <w:ind w:right="360"/>
              <w:jc w:val="center"/>
              <w:rPr>
                <w:b/>
                <w:lang w:val="fr-FR"/>
              </w:rPr>
            </w:pPr>
            <w:r w:rsidRPr="006C1045">
              <w:rPr>
                <w:b/>
                <w:i/>
                <w:lang w:val="fr-FR"/>
              </w:rPr>
              <w:t>CONSTATĂRI</w:t>
            </w:r>
            <w:r w:rsidRPr="006E647B">
              <w:rPr>
                <w:b/>
                <w:lang w:val="fr-FR"/>
              </w:rPr>
              <w:t xml:space="preserve"> </w:t>
            </w:r>
          </w:p>
          <w:p w:rsidR="00B73BBC" w:rsidRPr="0088783C" w:rsidRDefault="00B73BBC" w:rsidP="00AF750B">
            <w:pPr>
              <w:ind w:right="360"/>
              <w:jc w:val="center"/>
              <w:rPr>
                <w:b/>
                <w:lang w:val="fr-FR"/>
              </w:rPr>
            </w:pPr>
            <w:r w:rsidRPr="006E647B">
              <w:rPr>
                <w:lang w:val="fr-FR"/>
              </w:rPr>
              <w:t>(</w:t>
            </w:r>
            <w:r w:rsidRPr="006E647B">
              <w:rPr>
                <w:i/>
                <w:lang w:val="fr-FR"/>
              </w:rPr>
              <w:t xml:space="preserve">se vor </w:t>
            </w:r>
            <w:proofErr w:type="spellStart"/>
            <w:r w:rsidRPr="006E647B">
              <w:rPr>
                <w:i/>
                <w:lang w:val="fr-FR"/>
              </w:rPr>
              <w:t>consemna</w:t>
            </w:r>
            <w:proofErr w:type="spellEnd"/>
            <w:r w:rsidRPr="006E647B">
              <w:rPr>
                <w:i/>
                <w:lang w:val="fr-FR"/>
              </w:rPr>
              <w:t xml:space="preserve"> </w:t>
            </w:r>
            <w:proofErr w:type="spellStart"/>
            <w:r w:rsidRPr="006E647B">
              <w:rPr>
                <w:i/>
                <w:lang w:val="fr-FR"/>
              </w:rPr>
              <w:t>fapte</w:t>
            </w:r>
            <w:proofErr w:type="spellEnd"/>
            <w:r w:rsidRPr="006E647B">
              <w:rPr>
                <w:i/>
                <w:lang w:val="fr-FR"/>
              </w:rPr>
              <w:t xml:space="preserve">, </w:t>
            </w:r>
            <w:proofErr w:type="spellStart"/>
            <w:r w:rsidRPr="006E647B">
              <w:rPr>
                <w:i/>
                <w:lang w:val="fr-FR"/>
              </w:rPr>
              <w:t>fără</w:t>
            </w:r>
            <w:proofErr w:type="spellEnd"/>
            <w:r w:rsidRPr="006E647B">
              <w:rPr>
                <w:i/>
                <w:lang w:val="fr-FR"/>
              </w:rPr>
              <w:t xml:space="preserve"> a se face </w:t>
            </w:r>
            <w:proofErr w:type="spellStart"/>
            <w:r w:rsidRPr="006E647B">
              <w:rPr>
                <w:i/>
                <w:lang w:val="fr-FR"/>
              </w:rPr>
              <w:t>aprecieri</w:t>
            </w:r>
            <w:proofErr w:type="spellEnd"/>
            <w:r w:rsidRPr="006E647B">
              <w:rPr>
                <w:lang w:val="fr-FR"/>
              </w:rPr>
              <w:t>)</w:t>
            </w:r>
          </w:p>
        </w:tc>
      </w:tr>
      <w:tr w:rsidR="00B73BBC" w:rsidRPr="00985E74" w:rsidTr="00B73BBC">
        <w:trPr>
          <w:trHeight w:val="526"/>
        </w:trPr>
        <w:tc>
          <w:tcPr>
            <w:tcW w:w="7488" w:type="dxa"/>
            <w:vAlign w:val="center"/>
          </w:tcPr>
          <w:p w:rsidR="00B73BBC" w:rsidRDefault="00B73BBC" w:rsidP="00AF750B">
            <w:pPr>
              <w:jc w:val="both"/>
              <w:rPr>
                <w:i/>
                <w:lang w:val="ro-RO"/>
              </w:rPr>
            </w:pPr>
            <w:r>
              <w:rPr>
                <w:i/>
                <w:lang w:val="ro-RO"/>
              </w:rPr>
              <w:t>1. Instituţia de învăţământ superior are statut juridic propriu, stabilit prin actul de înfiinţare.</w:t>
            </w:r>
          </w:p>
        </w:tc>
        <w:tc>
          <w:tcPr>
            <w:tcW w:w="6829" w:type="dxa"/>
            <w:vAlign w:val="center"/>
          </w:tcPr>
          <w:p w:rsidR="00B73BBC" w:rsidRPr="0020764E" w:rsidRDefault="00B73BBC" w:rsidP="00F06E62">
            <w:pPr>
              <w:jc w:val="both"/>
              <w:rPr>
                <w:lang w:val="ro-RO"/>
              </w:rPr>
            </w:pPr>
          </w:p>
        </w:tc>
      </w:tr>
      <w:tr w:rsidR="00B73BBC" w:rsidRPr="00985E74" w:rsidTr="00B73BBC">
        <w:trPr>
          <w:trHeight w:val="383"/>
        </w:trPr>
        <w:tc>
          <w:tcPr>
            <w:tcW w:w="7488" w:type="dxa"/>
            <w:vAlign w:val="center"/>
          </w:tcPr>
          <w:p w:rsidR="00B73BBC" w:rsidRDefault="00B73BBC" w:rsidP="00AF750B">
            <w:pPr>
              <w:jc w:val="both"/>
              <w:rPr>
                <w:i/>
                <w:lang w:val="ro-RO"/>
              </w:rPr>
            </w:pPr>
            <w:r>
              <w:rPr>
                <w:i/>
                <w:lang w:val="ro-RO"/>
              </w:rPr>
              <w:t>2. Misiunea didatică şi de cercetare ştiinţifică a instituţiei este bine precizată, aceasta are obiective clare şi realizabile, cu respectarea normelor legale.</w:t>
            </w:r>
          </w:p>
        </w:tc>
        <w:tc>
          <w:tcPr>
            <w:tcW w:w="6829" w:type="dxa"/>
            <w:vAlign w:val="center"/>
          </w:tcPr>
          <w:p w:rsidR="00B73BBC" w:rsidRPr="00C94EAC" w:rsidRDefault="00B73BBC" w:rsidP="00F06E62">
            <w:pPr>
              <w:jc w:val="both"/>
              <w:rPr>
                <w:lang w:val="ro-RO"/>
              </w:rPr>
            </w:pPr>
          </w:p>
        </w:tc>
      </w:tr>
      <w:tr w:rsidR="00B73BBC" w:rsidRPr="00985E74" w:rsidTr="00B73BBC">
        <w:trPr>
          <w:trHeight w:val="526"/>
        </w:trPr>
        <w:tc>
          <w:tcPr>
            <w:tcW w:w="7488" w:type="dxa"/>
            <w:vAlign w:val="center"/>
          </w:tcPr>
          <w:p w:rsidR="00B73BBC" w:rsidRDefault="00B73BBC" w:rsidP="00AF750B">
            <w:pPr>
              <w:jc w:val="both"/>
              <w:rPr>
                <w:i/>
                <w:lang w:val="ro-RO"/>
              </w:rPr>
            </w:pPr>
            <w:r>
              <w:rPr>
                <w:i/>
                <w:lang w:val="ro-RO"/>
              </w:rPr>
              <w:t>3. Misiunea instituţiei de învăţământ superior conţine şi elemente de specificitate şi oportunitate, în concordanţă cu cadrul naţional al calificărilor.</w:t>
            </w:r>
          </w:p>
        </w:tc>
        <w:tc>
          <w:tcPr>
            <w:tcW w:w="6829" w:type="dxa"/>
            <w:vAlign w:val="center"/>
          </w:tcPr>
          <w:p w:rsidR="00B73BBC" w:rsidRPr="00C94EAC" w:rsidRDefault="00B73BBC" w:rsidP="00F06E62">
            <w:pPr>
              <w:jc w:val="both"/>
              <w:rPr>
                <w:lang w:val="ro-RO"/>
              </w:rPr>
            </w:pPr>
          </w:p>
        </w:tc>
      </w:tr>
      <w:tr w:rsidR="00B73BBC" w:rsidRPr="00985E74" w:rsidTr="00B73BBC">
        <w:trPr>
          <w:trHeight w:val="526"/>
        </w:trPr>
        <w:tc>
          <w:tcPr>
            <w:tcW w:w="7488" w:type="dxa"/>
            <w:shd w:val="clear" w:color="auto" w:fill="D9D9D9"/>
            <w:vAlign w:val="center"/>
          </w:tcPr>
          <w:p w:rsidR="00B73BBC" w:rsidRPr="0025594B" w:rsidRDefault="00B73BBC" w:rsidP="00AF750B">
            <w:pPr>
              <w:jc w:val="both"/>
              <w:rPr>
                <w:i/>
                <w:lang w:val="ro-RO"/>
              </w:rPr>
            </w:pPr>
            <w:r w:rsidRPr="0025594B">
              <w:rPr>
                <w:b/>
                <w:lang w:val="ro-RO"/>
              </w:rPr>
              <w:t>II. MISIUNEA ŞI OBIECTIVELE PROGRAMULUI DE STUDII</w:t>
            </w:r>
          </w:p>
        </w:tc>
        <w:tc>
          <w:tcPr>
            <w:tcW w:w="6829" w:type="dxa"/>
            <w:shd w:val="clear" w:color="auto" w:fill="D9D9D9"/>
            <w:vAlign w:val="center"/>
          </w:tcPr>
          <w:p w:rsidR="00B73BBC" w:rsidRPr="0025594B" w:rsidRDefault="00B73BBC" w:rsidP="00AF750B">
            <w:pPr>
              <w:rPr>
                <w:color w:val="0000FF"/>
                <w:lang w:val="ro-RO"/>
              </w:rPr>
            </w:pPr>
          </w:p>
        </w:tc>
      </w:tr>
      <w:tr w:rsidR="00B73BBC" w:rsidRPr="00985E74" w:rsidTr="00B73BBC">
        <w:trPr>
          <w:trHeight w:val="526"/>
        </w:trPr>
        <w:tc>
          <w:tcPr>
            <w:tcW w:w="7488" w:type="dxa"/>
            <w:vAlign w:val="center"/>
          </w:tcPr>
          <w:p w:rsidR="00B73BBC" w:rsidRPr="0025594B" w:rsidRDefault="00B73BBC" w:rsidP="00AF750B">
            <w:pPr>
              <w:jc w:val="both"/>
              <w:rPr>
                <w:b/>
                <w:i/>
                <w:lang w:val="ro-RO"/>
              </w:rPr>
            </w:pPr>
            <w:r w:rsidRPr="0025594B">
              <w:rPr>
                <w:i/>
                <w:lang w:val="ro-RO"/>
              </w:rPr>
              <w:t>1. Misiunea programului este în concordanţă cu denumirea acestuia, precum şi cu domeniul de studii de licenţă în care se încadrează.</w:t>
            </w:r>
          </w:p>
        </w:tc>
        <w:tc>
          <w:tcPr>
            <w:tcW w:w="6829" w:type="dxa"/>
            <w:vAlign w:val="center"/>
          </w:tcPr>
          <w:p w:rsidR="00B73BBC" w:rsidRPr="00CF252C" w:rsidRDefault="00B73BBC" w:rsidP="00F06E62">
            <w:pPr>
              <w:jc w:val="both"/>
              <w:rPr>
                <w:lang w:val="ro-RO"/>
              </w:rPr>
            </w:pPr>
          </w:p>
        </w:tc>
      </w:tr>
      <w:tr w:rsidR="00B73BBC" w:rsidRPr="00781AB8" w:rsidTr="00B73BBC">
        <w:trPr>
          <w:trHeight w:val="526"/>
        </w:trPr>
        <w:tc>
          <w:tcPr>
            <w:tcW w:w="7488" w:type="dxa"/>
            <w:vAlign w:val="center"/>
          </w:tcPr>
          <w:p w:rsidR="00B73BBC" w:rsidRPr="0025594B" w:rsidRDefault="00B73BBC" w:rsidP="00AF750B">
            <w:pPr>
              <w:jc w:val="both"/>
              <w:rPr>
                <w:i/>
                <w:lang w:val="ro-RO"/>
              </w:rPr>
            </w:pPr>
            <w:r w:rsidRPr="0025594B">
              <w:rPr>
                <w:i/>
                <w:lang w:val="ro-RO"/>
              </w:rPr>
              <w:t>2. Competenţele scontate ale absolvenţilor sunt riguros definite şi corespund calificării declarate.</w:t>
            </w:r>
          </w:p>
        </w:tc>
        <w:tc>
          <w:tcPr>
            <w:tcW w:w="6829" w:type="dxa"/>
            <w:vAlign w:val="center"/>
          </w:tcPr>
          <w:p w:rsidR="00B73BBC" w:rsidRPr="00F03104" w:rsidRDefault="00B73BBC" w:rsidP="00781AB8">
            <w:pPr>
              <w:jc w:val="both"/>
              <w:rPr>
                <w:lang w:val="ro-RO"/>
              </w:rPr>
            </w:pPr>
          </w:p>
        </w:tc>
      </w:tr>
      <w:tr w:rsidR="00B73BBC" w:rsidRPr="0025594B" w:rsidTr="00B73BBC">
        <w:trPr>
          <w:trHeight w:val="526"/>
        </w:trPr>
        <w:tc>
          <w:tcPr>
            <w:tcW w:w="7488" w:type="dxa"/>
            <w:vAlign w:val="center"/>
          </w:tcPr>
          <w:p w:rsidR="00B73BBC" w:rsidRPr="0025594B" w:rsidRDefault="00B73BBC" w:rsidP="00AF750B">
            <w:pPr>
              <w:jc w:val="both"/>
              <w:rPr>
                <w:i/>
                <w:lang w:val="ro-RO"/>
              </w:rPr>
            </w:pPr>
            <w:r w:rsidRPr="0025594B">
              <w:rPr>
                <w:i/>
                <w:lang w:val="ro-RO"/>
              </w:rPr>
              <w:t>3. Calificarea absolvenţilor corespunde cadrului naţional al calificărilor (nomenclatorului ocupaţiilor din România), în vigoare la data evaluării externe (se va specifica denumirea şi codul calificării).</w:t>
            </w:r>
          </w:p>
        </w:tc>
        <w:tc>
          <w:tcPr>
            <w:tcW w:w="6829" w:type="dxa"/>
            <w:vAlign w:val="center"/>
          </w:tcPr>
          <w:p w:rsidR="00B73BBC" w:rsidRPr="0076444A" w:rsidRDefault="00B73BBC" w:rsidP="00F06E62">
            <w:pPr>
              <w:jc w:val="both"/>
              <w:rPr>
                <w:lang w:val="ro-RO"/>
              </w:rPr>
            </w:pPr>
          </w:p>
        </w:tc>
      </w:tr>
      <w:tr w:rsidR="00B73BBC" w:rsidTr="00B73BBC">
        <w:tblPrEx>
          <w:tblBorders>
            <w:top w:val="double" w:sz="4" w:space="0" w:color="auto"/>
            <w:left w:val="double" w:sz="4" w:space="0" w:color="auto"/>
            <w:bottom w:val="double" w:sz="4" w:space="0" w:color="auto"/>
            <w:right w:val="double" w:sz="4" w:space="0" w:color="auto"/>
          </w:tblBorders>
        </w:tblPrEx>
        <w:trPr>
          <w:trHeight w:val="525"/>
        </w:trPr>
        <w:tc>
          <w:tcPr>
            <w:tcW w:w="7488" w:type="dxa"/>
            <w:tcBorders>
              <w:left w:val="single" w:sz="4" w:space="0" w:color="auto"/>
            </w:tcBorders>
            <w:shd w:val="clear" w:color="auto" w:fill="D9D9D9"/>
            <w:vAlign w:val="center"/>
          </w:tcPr>
          <w:p w:rsidR="00B73BBC" w:rsidRPr="006D6357" w:rsidRDefault="00B73BBC" w:rsidP="00AF750B">
            <w:pPr>
              <w:rPr>
                <w:b/>
                <w:i/>
                <w:lang w:val="ro-RO"/>
              </w:rPr>
            </w:pPr>
            <w:r w:rsidRPr="0025594B">
              <w:rPr>
                <w:b/>
              </w:rPr>
              <w:t>III.  PERSONALUL  DIDACTIC</w:t>
            </w:r>
          </w:p>
        </w:tc>
        <w:tc>
          <w:tcPr>
            <w:tcW w:w="6829" w:type="dxa"/>
            <w:tcBorders>
              <w:right w:val="single" w:sz="4" w:space="0" w:color="auto"/>
            </w:tcBorders>
            <w:shd w:val="clear" w:color="auto" w:fill="D9D9D9"/>
            <w:vAlign w:val="center"/>
          </w:tcPr>
          <w:p w:rsidR="00B73BBC" w:rsidRPr="006C1045" w:rsidRDefault="00B73BBC" w:rsidP="00AF750B">
            <w:pPr>
              <w:jc w:val="center"/>
              <w:rPr>
                <w:b/>
                <w:i/>
                <w:lang w:val="ro-RO"/>
              </w:rPr>
            </w:pPr>
          </w:p>
        </w:tc>
      </w:tr>
      <w:tr w:rsidR="00B73BBC"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Default="00B73BBC" w:rsidP="00AF750B">
            <w:pPr>
              <w:jc w:val="both"/>
              <w:rPr>
                <w:i/>
                <w:lang w:val="ro-RO"/>
              </w:rPr>
            </w:pPr>
            <w:r>
              <w:rPr>
                <w:i/>
                <w:lang w:val="ro-RO"/>
              </w:rPr>
              <w:t>1. Personalul didactic îndeplineşte cerinţele legale pentru ocuparea posturilor didactice.</w:t>
            </w:r>
          </w:p>
        </w:tc>
        <w:tc>
          <w:tcPr>
            <w:tcW w:w="6829" w:type="dxa"/>
            <w:tcBorders>
              <w:right w:val="single" w:sz="4" w:space="0" w:color="auto"/>
            </w:tcBorders>
            <w:vAlign w:val="center"/>
          </w:tcPr>
          <w:p w:rsidR="00B73BBC" w:rsidRPr="00F03104" w:rsidRDefault="00B73BBC" w:rsidP="00F06E62">
            <w:pPr>
              <w:pStyle w:val="Default"/>
              <w:jc w:val="both"/>
              <w:rPr>
                <w:lang w:val="ro-RO"/>
              </w:rPr>
            </w:pPr>
          </w:p>
        </w:tc>
      </w:tr>
      <w:tr w:rsidR="00B73BBC" w:rsidRPr="00767259"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Default="00B73BBC" w:rsidP="00AF750B">
            <w:pPr>
              <w:jc w:val="both"/>
              <w:rPr>
                <w:i/>
                <w:lang w:val="ro-RO"/>
              </w:rPr>
            </w:pPr>
            <w:r>
              <w:rPr>
                <w:i/>
                <w:lang w:val="ro-RO"/>
              </w:rPr>
              <w:lastRenderedPageBreak/>
              <w:t>2. Personalul didactic titularizat în instituţia de învăţământ superior unde are funcţia de bază este luat în considerare la acreditare pentru o singură normă didactică, constituită conform legii.</w:t>
            </w:r>
          </w:p>
        </w:tc>
        <w:tc>
          <w:tcPr>
            <w:tcW w:w="6829" w:type="dxa"/>
            <w:tcBorders>
              <w:right w:val="single" w:sz="4" w:space="0" w:color="auto"/>
            </w:tcBorders>
            <w:vAlign w:val="center"/>
          </w:tcPr>
          <w:p w:rsidR="00B73BBC" w:rsidRPr="00F03104" w:rsidRDefault="00B73BBC" w:rsidP="00F06E62">
            <w:pPr>
              <w:jc w:val="both"/>
              <w:rPr>
                <w:lang w:val="ro-RO"/>
              </w:rPr>
            </w:pPr>
          </w:p>
        </w:tc>
      </w:tr>
      <w:tr w:rsidR="00B73BBC" w:rsidRPr="00767259"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Default="00B73BBC" w:rsidP="00AF750B">
            <w:pPr>
              <w:jc w:val="both"/>
              <w:rPr>
                <w:i/>
                <w:lang w:val="ro-RO"/>
              </w:rPr>
            </w:pPr>
            <w:r>
              <w:rPr>
                <w:i/>
                <w:lang w:val="ro-RO"/>
              </w:rPr>
              <w:t>3. Personalul didactic titularizat în învăţământul superior nu poate acoperi, într-un an universitar, mai mult de trei norme didactice (cf.legii 1/2011), indiferent de instituţia de învăţământ în care îşi desfăşoară activitatea.</w:t>
            </w:r>
          </w:p>
        </w:tc>
        <w:tc>
          <w:tcPr>
            <w:tcW w:w="6829" w:type="dxa"/>
            <w:tcBorders>
              <w:right w:val="single" w:sz="4" w:space="0" w:color="auto"/>
            </w:tcBorders>
            <w:vAlign w:val="center"/>
          </w:tcPr>
          <w:p w:rsidR="00B73BBC" w:rsidRPr="00C94EAC" w:rsidRDefault="00B73BBC" w:rsidP="00F06E62">
            <w:pPr>
              <w:jc w:val="both"/>
              <w:rPr>
                <w:lang w:val="ro-RO"/>
              </w:rPr>
            </w:pPr>
          </w:p>
        </w:tc>
      </w:tr>
      <w:tr w:rsidR="00B73BBC" w:rsidRPr="00767259"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Default="00B73BBC" w:rsidP="00AF750B">
            <w:pPr>
              <w:jc w:val="both"/>
              <w:rPr>
                <w:i/>
                <w:lang w:val="ro-RO"/>
              </w:rPr>
            </w:pPr>
            <w:r>
              <w:rPr>
                <w:i/>
                <w:lang w:val="ro-RO"/>
              </w:rPr>
              <w:t>4. Personalul didactic titularizat în învăţământul superior conform legii, pensionat la limita de vârstă sau din alte motive, acoperă o singură normă didactică în instituţia respectivă de învăţământ superior.</w:t>
            </w:r>
          </w:p>
        </w:tc>
        <w:tc>
          <w:tcPr>
            <w:tcW w:w="6829" w:type="dxa"/>
            <w:tcBorders>
              <w:right w:val="single" w:sz="4" w:space="0" w:color="auto"/>
            </w:tcBorders>
            <w:vAlign w:val="center"/>
          </w:tcPr>
          <w:p w:rsidR="00B73BBC" w:rsidRPr="00C94EAC" w:rsidRDefault="00B73BBC" w:rsidP="00E258AC">
            <w:pPr>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416"/>
        </w:trPr>
        <w:tc>
          <w:tcPr>
            <w:tcW w:w="7488" w:type="dxa"/>
            <w:tcBorders>
              <w:left w:val="single" w:sz="4" w:space="0" w:color="auto"/>
            </w:tcBorders>
            <w:vAlign w:val="center"/>
          </w:tcPr>
          <w:p w:rsidR="00B73BBC" w:rsidRDefault="00B73BBC" w:rsidP="00AF750B">
            <w:pPr>
              <w:jc w:val="both"/>
              <w:rPr>
                <w:i/>
                <w:lang w:val="ro-RO"/>
              </w:rPr>
            </w:pPr>
            <w:r>
              <w:rPr>
                <w:i/>
                <w:lang w:val="ro-RO"/>
              </w:rPr>
              <w:t>5a. Cel puţin 70 % din totalul posturilor din statul de funcţii, constituite conform normativelor legale, sunt acoperite cu cadre didactice titularizate în învăţământul superior conform normelor legale, cu norma de bază î</w:t>
            </w:r>
            <w:r w:rsidRPr="00E016A1">
              <w:rPr>
                <w:i/>
                <w:lang w:val="ro-RO"/>
              </w:rPr>
              <w:t>n universitate</w:t>
            </w:r>
            <w:r>
              <w:rPr>
                <w:i/>
                <w:color w:val="0000FF"/>
                <w:lang w:val="ro-RO"/>
              </w:rPr>
              <w:t xml:space="preserve"> </w:t>
            </w:r>
            <w:r>
              <w:rPr>
                <w:i/>
                <w:lang w:val="ro-RO"/>
              </w:rPr>
              <w:t>sau cu post rezervat.</w:t>
            </w:r>
          </w:p>
          <w:p w:rsidR="00B73BBC" w:rsidRDefault="00B73BBC" w:rsidP="00AF750B">
            <w:pPr>
              <w:jc w:val="both"/>
              <w:rPr>
                <w:i/>
                <w:lang w:val="ro-RO"/>
              </w:rPr>
            </w:pPr>
            <w:r>
              <w:rPr>
                <w:i/>
                <w:lang w:val="ro-RO"/>
              </w:rPr>
              <w:t>5b. Dintre aceste cadre didactice</w:t>
            </w:r>
            <w:r w:rsidRPr="001C5DFD">
              <w:rPr>
                <w:i/>
                <w:lang w:val="ro-RO"/>
              </w:rPr>
              <w:t xml:space="preserve"> cel puţin 25</w:t>
            </w:r>
            <w:r>
              <w:rPr>
                <w:i/>
                <w:lang w:val="ro-RO"/>
              </w:rPr>
              <w:t xml:space="preserve"> </w:t>
            </w:r>
            <w:r w:rsidRPr="001C5DFD">
              <w:rPr>
                <w:i/>
                <w:lang w:val="ro-RO"/>
              </w:rPr>
              <w:t>% sunt profesori universitari şi conferenţiari universitari, dar nu mai mult de 50</w:t>
            </w:r>
            <w:r>
              <w:rPr>
                <w:i/>
                <w:lang w:val="ro-RO"/>
              </w:rPr>
              <w:t xml:space="preserve"> </w:t>
            </w:r>
            <w:r w:rsidRPr="001C5DFD">
              <w:rPr>
                <w:i/>
                <w:lang w:val="ro-RO"/>
              </w:rPr>
              <w:t>%.</w:t>
            </w:r>
          </w:p>
        </w:tc>
        <w:tc>
          <w:tcPr>
            <w:tcW w:w="6829" w:type="dxa"/>
            <w:tcBorders>
              <w:right w:val="single" w:sz="4" w:space="0" w:color="auto"/>
            </w:tcBorders>
            <w:vAlign w:val="center"/>
          </w:tcPr>
          <w:p w:rsidR="00B73BBC" w:rsidRPr="00C94EAC" w:rsidRDefault="00B73BBC" w:rsidP="00F06E62">
            <w:pPr>
              <w:jc w:val="both"/>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Pr="0025594B" w:rsidRDefault="00B73BBC" w:rsidP="00AF750B">
            <w:pPr>
              <w:jc w:val="both"/>
              <w:rPr>
                <w:i/>
                <w:lang w:val="ro-RO"/>
              </w:rPr>
            </w:pPr>
            <w:r w:rsidRPr="0025594B">
              <w:rPr>
                <w:i/>
                <w:lang w:val="ro-RO"/>
              </w:rPr>
              <w:t>6. Numărul de cadre didactice titularizate în învăţământul superior, conform normelor legale, este cel rezultat ţinându-se seama atât de posturile întregi din statele de funcţii, cât  şi de fracţiunile de posturi pe care le acoperă acestea în structura sau programul respectiv.</w:t>
            </w:r>
          </w:p>
        </w:tc>
        <w:tc>
          <w:tcPr>
            <w:tcW w:w="6829" w:type="dxa"/>
            <w:tcBorders>
              <w:right w:val="single" w:sz="4" w:space="0" w:color="auto"/>
            </w:tcBorders>
            <w:vAlign w:val="center"/>
          </w:tcPr>
          <w:p w:rsidR="00B73BBC" w:rsidRPr="00C94EAC" w:rsidRDefault="00B73BBC" w:rsidP="00C12871">
            <w:pPr>
              <w:jc w:val="both"/>
              <w:rPr>
                <w:szCs w:val="22"/>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Pr="0025594B" w:rsidRDefault="00B73BBC" w:rsidP="00AF750B">
            <w:pPr>
              <w:jc w:val="both"/>
              <w:rPr>
                <w:i/>
                <w:lang w:val="ro-RO"/>
              </w:rPr>
            </w:pPr>
            <w:r w:rsidRPr="0025594B">
              <w:rPr>
                <w:i/>
                <w:lang w:val="ro-RO"/>
              </w:rPr>
              <w:t>7. Personalul didactic asociat care nu este titularizat în învăţământul superior, ocupă temporar un post vacant din statul de funcţii al instituţiei de învăţământ superior supuse evaluării de către ARACIS numai dacă satisface cerinţele legale pentru ocuparea postului respectiv.</w:t>
            </w:r>
          </w:p>
        </w:tc>
        <w:tc>
          <w:tcPr>
            <w:tcW w:w="6829" w:type="dxa"/>
            <w:tcBorders>
              <w:right w:val="single" w:sz="4" w:space="0" w:color="auto"/>
            </w:tcBorders>
            <w:vAlign w:val="center"/>
          </w:tcPr>
          <w:p w:rsidR="00B73BBC" w:rsidRPr="00C94EAC" w:rsidRDefault="00B73BBC" w:rsidP="00E258AC">
            <w:pPr>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664"/>
        </w:trPr>
        <w:tc>
          <w:tcPr>
            <w:tcW w:w="7488" w:type="dxa"/>
            <w:tcBorders>
              <w:left w:val="single" w:sz="4" w:space="0" w:color="auto"/>
            </w:tcBorders>
            <w:vAlign w:val="center"/>
          </w:tcPr>
          <w:p w:rsidR="00B73BBC" w:rsidRPr="0025594B" w:rsidRDefault="00B73BBC" w:rsidP="00AF750B">
            <w:pPr>
              <w:jc w:val="both"/>
              <w:rPr>
                <w:i/>
                <w:lang w:val="ro-RO"/>
              </w:rPr>
            </w:pPr>
            <w:r w:rsidRPr="0025594B">
              <w:rPr>
                <w:i/>
                <w:lang w:val="ro-RO"/>
              </w:rPr>
              <w:t>8. Titularii de disciplină trebuie să aibă titlul ştiinţific de doctor în domeniul disciplinelor din postul ocupat; celelalte cadre didactice trebuie să aibă pregatirea iniţială şi competenţe în domeniul disciplinei predate.</w:t>
            </w:r>
          </w:p>
        </w:tc>
        <w:tc>
          <w:tcPr>
            <w:tcW w:w="6829" w:type="dxa"/>
            <w:tcBorders>
              <w:right w:val="single" w:sz="4" w:space="0" w:color="auto"/>
            </w:tcBorders>
            <w:vAlign w:val="center"/>
          </w:tcPr>
          <w:p w:rsidR="00B73BBC" w:rsidRPr="00C94EAC" w:rsidRDefault="00B73BBC" w:rsidP="00C12871">
            <w:pPr>
              <w:jc w:val="both"/>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Pr="0025594B" w:rsidRDefault="00B73BBC" w:rsidP="00AF750B">
            <w:pPr>
              <w:jc w:val="both"/>
              <w:rPr>
                <w:i/>
                <w:lang w:val="ro-RO"/>
              </w:rPr>
            </w:pPr>
            <w:r w:rsidRPr="0025594B">
              <w:rPr>
                <w:i/>
                <w:lang w:val="ro-RO"/>
              </w:rPr>
              <w:t>9.</w:t>
            </w:r>
            <w:r w:rsidRPr="0025594B">
              <w:rPr>
                <w:b/>
                <w:i/>
                <w:lang w:val="ro-RO"/>
              </w:rPr>
              <w:t xml:space="preserve"> </w:t>
            </w:r>
            <w:r w:rsidRPr="0025594B">
              <w:rPr>
                <w:i/>
                <w:lang w:val="ro-RO"/>
              </w:rPr>
              <w:t xml:space="preserve">Titularii de disciplină trebuie să facă dovada că au elaborat cursuri şi alte lucrări necesare procesului </w:t>
            </w:r>
            <w:r w:rsidRPr="00403D3D">
              <w:rPr>
                <w:i/>
                <w:lang w:val="ro-RO"/>
              </w:rPr>
              <w:t>de învăţământ, care acoperă integral problematica disciplinei respective, prevăzută în fişa disciplinei.</w:t>
            </w:r>
          </w:p>
        </w:tc>
        <w:tc>
          <w:tcPr>
            <w:tcW w:w="6829" w:type="dxa"/>
            <w:tcBorders>
              <w:right w:val="single" w:sz="4" w:space="0" w:color="auto"/>
            </w:tcBorders>
            <w:vAlign w:val="center"/>
          </w:tcPr>
          <w:p w:rsidR="00B73BBC" w:rsidRPr="00C94EAC" w:rsidRDefault="00B73BBC" w:rsidP="00C12871">
            <w:pPr>
              <w:jc w:val="both"/>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Pr="0025594B" w:rsidRDefault="00B73BBC" w:rsidP="00AF750B">
            <w:pPr>
              <w:jc w:val="both"/>
              <w:rPr>
                <w:i/>
                <w:lang w:val="ro-RO"/>
              </w:rPr>
            </w:pPr>
            <w:r w:rsidRPr="0025594B">
              <w:rPr>
                <w:i/>
                <w:lang w:val="ro-RO"/>
              </w:rPr>
              <w:t xml:space="preserve">10. Conducerea instituţiei de învăţământ superior asigură multiplicarea lucrărilor sus-menţionate şi punerea lor la dispoziţia studenţilor într-un </w:t>
            </w:r>
            <w:r w:rsidRPr="0025594B">
              <w:rPr>
                <w:i/>
                <w:lang w:val="ro-RO"/>
              </w:rPr>
              <w:lastRenderedPageBreak/>
              <w:t>număr corespunzător, tipărite sau în format electronic.</w:t>
            </w:r>
          </w:p>
        </w:tc>
        <w:tc>
          <w:tcPr>
            <w:tcW w:w="6829" w:type="dxa"/>
            <w:tcBorders>
              <w:right w:val="single" w:sz="4" w:space="0" w:color="auto"/>
            </w:tcBorders>
            <w:vAlign w:val="center"/>
          </w:tcPr>
          <w:p w:rsidR="00B73BBC" w:rsidRPr="00F03104" w:rsidRDefault="00B73BBC" w:rsidP="00C12871">
            <w:pPr>
              <w:jc w:val="both"/>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Pr="0025594B" w:rsidRDefault="00B73BBC" w:rsidP="00AF750B">
            <w:pPr>
              <w:jc w:val="both"/>
              <w:rPr>
                <w:i/>
                <w:lang w:val="ro-RO"/>
              </w:rPr>
            </w:pPr>
            <w:r w:rsidRPr="0025594B">
              <w:rPr>
                <w:i/>
                <w:lang w:val="ro-RO"/>
              </w:rPr>
              <w:lastRenderedPageBreak/>
              <w:t>11. Cadrele didactice asociate au obligaţia de a face cunoscut, prin declaraţie scrisă, conducătorului instituţiei la care au funcţia de bază, precum şi celei la care sunt asociate, numărul orelor didactice prestate prin asociere.</w:t>
            </w:r>
          </w:p>
        </w:tc>
        <w:tc>
          <w:tcPr>
            <w:tcW w:w="6829" w:type="dxa"/>
            <w:tcBorders>
              <w:right w:val="single" w:sz="4" w:space="0" w:color="auto"/>
            </w:tcBorders>
            <w:vAlign w:val="center"/>
          </w:tcPr>
          <w:p w:rsidR="00B73BBC" w:rsidRPr="00F03104" w:rsidRDefault="00B73BBC" w:rsidP="00C12871">
            <w:pPr>
              <w:jc w:val="both"/>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Pr="0025594B" w:rsidRDefault="00B73BBC" w:rsidP="00AF750B">
            <w:pPr>
              <w:jc w:val="both"/>
              <w:rPr>
                <w:i/>
                <w:lang w:val="ro-RO"/>
              </w:rPr>
            </w:pPr>
            <w:r w:rsidRPr="0025594B">
              <w:rPr>
                <w:i/>
                <w:lang w:val="ro-RO"/>
              </w:rPr>
              <w:t>12. Cadrele didactice care ocupă posturi de asistent trebuie să aibă pregătire psiho-pedagogică şi metodică atestată.</w:t>
            </w:r>
          </w:p>
        </w:tc>
        <w:tc>
          <w:tcPr>
            <w:tcW w:w="6829" w:type="dxa"/>
            <w:tcBorders>
              <w:right w:val="single" w:sz="4" w:space="0" w:color="auto"/>
            </w:tcBorders>
            <w:vAlign w:val="center"/>
          </w:tcPr>
          <w:p w:rsidR="00B73BBC" w:rsidRPr="00F03104" w:rsidRDefault="00B73BBC" w:rsidP="00C12871">
            <w:pPr>
              <w:jc w:val="both"/>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Default="00B73BBC" w:rsidP="00AF750B">
            <w:pPr>
              <w:jc w:val="both"/>
              <w:rPr>
                <w:i/>
                <w:lang w:val="ro-RO"/>
              </w:rPr>
            </w:pPr>
            <w:r>
              <w:rPr>
                <w:i/>
                <w:lang w:val="ro-RO"/>
              </w:rPr>
              <w:t xml:space="preserve">13. </w:t>
            </w:r>
            <w:r w:rsidRPr="0025594B">
              <w:rPr>
                <w:i/>
                <w:lang w:val="ro-RO"/>
              </w:rPr>
              <w:t>Cadrele didactice cu gradul de profesor universitar, specialişti de înaltă clasă într-un anumit domeniu, care au depăşit vârsta de pensionare, nu trebuie să acopere  mai mult de 20 % din numărul total de posturi din statul de funcţii.</w:t>
            </w:r>
          </w:p>
        </w:tc>
        <w:tc>
          <w:tcPr>
            <w:tcW w:w="6829" w:type="dxa"/>
            <w:tcBorders>
              <w:right w:val="single" w:sz="4" w:space="0" w:color="auto"/>
            </w:tcBorders>
            <w:vAlign w:val="center"/>
          </w:tcPr>
          <w:p w:rsidR="00B73BBC" w:rsidRPr="00C94EAC" w:rsidRDefault="00B73BBC" w:rsidP="00E258AC">
            <w:pPr>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Pr="0025594B" w:rsidRDefault="00B73BBC" w:rsidP="00AF750B">
            <w:pPr>
              <w:jc w:val="both"/>
              <w:rPr>
                <w:i/>
                <w:lang w:val="ro-RO"/>
              </w:rPr>
            </w:pPr>
            <w:r w:rsidRPr="0025594B">
              <w:rPr>
                <w:i/>
                <w:lang w:val="ro-RO"/>
              </w:rPr>
              <w:t>14. Personalul de conducere al instituţiei de învăţământ superior (rector, prorector, decan, prodecan, precum şi director (şef) de departament) sunt cadre didactice titularizate în învăţământul superior, cu norma de bază în instituţie, respectiv structura internă de conducere la care funcţionează, sunt profesori sau conferenţiari universitari titulari şi nu se află în condiţii de rezervare a postului.</w:t>
            </w:r>
          </w:p>
        </w:tc>
        <w:tc>
          <w:tcPr>
            <w:tcW w:w="6829" w:type="dxa"/>
            <w:tcBorders>
              <w:right w:val="single" w:sz="4" w:space="0" w:color="auto"/>
            </w:tcBorders>
            <w:vAlign w:val="center"/>
          </w:tcPr>
          <w:p w:rsidR="00B73BBC" w:rsidRPr="00C94EAC" w:rsidRDefault="00B73BBC" w:rsidP="00272315">
            <w:pPr>
              <w:jc w:val="both"/>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600"/>
        </w:trPr>
        <w:tc>
          <w:tcPr>
            <w:tcW w:w="7488" w:type="dxa"/>
            <w:tcBorders>
              <w:left w:val="single" w:sz="4" w:space="0" w:color="auto"/>
            </w:tcBorders>
            <w:vAlign w:val="center"/>
          </w:tcPr>
          <w:p w:rsidR="00B73BBC" w:rsidRPr="0025594B" w:rsidRDefault="00B73BBC" w:rsidP="00AF750B">
            <w:pPr>
              <w:jc w:val="both"/>
              <w:rPr>
                <w:i/>
                <w:lang w:val="ro-RO"/>
              </w:rPr>
            </w:pPr>
            <w:r w:rsidRPr="0025594B">
              <w:rPr>
                <w:i/>
                <w:lang w:val="ro-RO"/>
              </w:rPr>
              <w:t>15. Instituţia de învăţământ superior asigură acoperirea pe cel puţin un ciclu de licenţă a activităţilor prevăzute la disciplinele din planul de învăţământ al programului evaluat, cu cadre didactice care îndeplinesc cerinţele menţionate mai sus.</w:t>
            </w:r>
          </w:p>
        </w:tc>
        <w:tc>
          <w:tcPr>
            <w:tcW w:w="6829" w:type="dxa"/>
            <w:tcBorders>
              <w:right w:val="single" w:sz="4" w:space="0" w:color="auto"/>
            </w:tcBorders>
            <w:vAlign w:val="center"/>
          </w:tcPr>
          <w:p w:rsidR="00B73BBC" w:rsidRPr="00C94EAC" w:rsidRDefault="00B73BBC" w:rsidP="00272315">
            <w:pPr>
              <w:jc w:val="both"/>
              <w:rPr>
                <w:lang w:val="ro-RO"/>
              </w:rPr>
            </w:pPr>
          </w:p>
        </w:tc>
      </w:tr>
      <w:tr w:rsidR="00B73BBC" w:rsidRPr="00985E74" w:rsidTr="00B73BBC">
        <w:trPr>
          <w:trHeight w:val="600"/>
        </w:trPr>
        <w:tc>
          <w:tcPr>
            <w:tcW w:w="7488" w:type="dxa"/>
            <w:shd w:val="clear" w:color="auto" w:fill="D9D9D9"/>
            <w:vAlign w:val="center"/>
          </w:tcPr>
          <w:p w:rsidR="00B73BBC" w:rsidRPr="0025594B" w:rsidRDefault="00B73BBC" w:rsidP="00AF750B">
            <w:pPr>
              <w:rPr>
                <w:b/>
                <w:lang w:val="ro-RO"/>
              </w:rPr>
            </w:pPr>
            <w:r w:rsidRPr="0025594B">
              <w:rPr>
                <w:b/>
                <w:lang w:val="ro-RO"/>
              </w:rPr>
              <w:t>IV.  CONŢINUTUL  PROCESULUI DE ÎNVĂŢĂMÂNT</w:t>
            </w:r>
          </w:p>
        </w:tc>
        <w:tc>
          <w:tcPr>
            <w:tcW w:w="6829" w:type="dxa"/>
            <w:shd w:val="clear" w:color="auto" w:fill="D9D9D9"/>
            <w:vAlign w:val="center"/>
          </w:tcPr>
          <w:p w:rsidR="00B73BBC" w:rsidRPr="006C1045" w:rsidRDefault="00B73BBC" w:rsidP="00AF750B">
            <w:pPr>
              <w:jc w:val="center"/>
              <w:rPr>
                <w:b/>
                <w:i/>
                <w:lang w:val="ro-RO"/>
              </w:rPr>
            </w:pPr>
          </w:p>
        </w:tc>
      </w:tr>
      <w:tr w:rsidR="00B73BBC" w:rsidRPr="00985E74" w:rsidTr="00B73BBC">
        <w:trPr>
          <w:trHeight w:val="600"/>
        </w:trPr>
        <w:tc>
          <w:tcPr>
            <w:tcW w:w="7488" w:type="dxa"/>
            <w:vAlign w:val="center"/>
          </w:tcPr>
          <w:p w:rsidR="00B73BBC" w:rsidRPr="0025594B" w:rsidRDefault="00B73BBC" w:rsidP="00AF750B">
            <w:pPr>
              <w:jc w:val="both"/>
              <w:rPr>
                <w:i/>
                <w:lang w:val="ro-RO"/>
              </w:rPr>
            </w:pPr>
            <w:r w:rsidRPr="0025594B">
              <w:rPr>
                <w:i/>
                <w:lang w:val="ro-RO"/>
              </w:rPr>
              <w:t>1. Planul de învăţământ cuprinde discipline fundamentale, discipline de specialitate în domeniu şi discipline complementare, grupate la rândul lor în discipline obligatorii, opţionale şi facultative, în conformitate cu cerinţele normative stabilite pe plan naţional.</w:t>
            </w:r>
          </w:p>
        </w:tc>
        <w:tc>
          <w:tcPr>
            <w:tcW w:w="6829" w:type="dxa"/>
            <w:vAlign w:val="center"/>
          </w:tcPr>
          <w:p w:rsidR="00B73BBC" w:rsidRPr="00524C1F" w:rsidRDefault="00B73BBC" w:rsidP="00272315">
            <w:pPr>
              <w:jc w:val="both"/>
              <w:rPr>
                <w:lang w:val="ro-RO"/>
              </w:rPr>
            </w:pPr>
          </w:p>
        </w:tc>
      </w:tr>
      <w:tr w:rsidR="00B73BBC" w:rsidRPr="00985E74" w:rsidTr="00B73BBC">
        <w:trPr>
          <w:trHeight w:val="600"/>
        </w:trPr>
        <w:tc>
          <w:tcPr>
            <w:tcW w:w="7488" w:type="dxa"/>
            <w:vAlign w:val="center"/>
          </w:tcPr>
          <w:p w:rsidR="00B73BBC" w:rsidRPr="0025594B" w:rsidRDefault="00B73BBC" w:rsidP="00AF750B">
            <w:pPr>
              <w:jc w:val="both"/>
              <w:rPr>
                <w:i/>
                <w:lang w:val="ro-RO"/>
              </w:rPr>
            </w:pPr>
            <w:r w:rsidRPr="0025594B">
              <w:rPr>
                <w:i/>
                <w:lang w:val="ro-RO"/>
              </w:rPr>
              <w:t xml:space="preserve">2. Disciplinele de studiu din planul de învăţământ sunt prevăzute într-o succesiune logică şi trebuie să definească şi să delimiteze precis competenţele generale şi de specialitate pe domenii de studii universitare </w:t>
            </w:r>
            <w:r w:rsidRPr="0025594B">
              <w:rPr>
                <w:i/>
                <w:lang w:val="ro-RO"/>
              </w:rPr>
              <w:lastRenderedPageBreak/>
              <w:t>de licenţă, să asigure compatibilitatea cu cadrul naţional de calificări şi cu planuri şi programe de studii similare din state ale Uniunii Europene şi din alte state ale lumii, ponderea disciplinelor fiind exprimată în credite de studii ECTS.</w:t>
            </w:r>
          </w:p>
        </w:tc>
        <w:tc>
          <w:tcPr>
            <w:tcW w:w="6829" w:type="dxa"/>
            <w:vAlign w:val="center"/>
          </w:tcPr>
          <w:p w:rsidR="00B73BBC" w:rsidRPr="00C94EAC" w:rsidRDefault="00B73BBC" w:rsidP="00272315">
            <w:pPr>
              <w:jc w:val="both"/>
              <w:rPr>
                <w:lang w:val="ro-RO"/>
              </w:rPr>
            </w:pPr>
          </w:p>
        </w:tc>
      </w:tr>
      <w:tr w:rsidR="00B73BBC" w:rsidRPr="00985E74" w:rsidTr="00B73BBC">
        <w:trPr>
          <w:trHeight w:val="600"/>
        </w:trPr>
        <w:tc>
          <w:tcPr>
            <w:tcW w:w="7488" w:type="dxa"/>
            <w:vAlign w:val="center"/>
          </w:tcPr>
          <w:p w:rsidR="00B73BBC" w:rsidRPr="0025594B" w:rsidRDefault="00B73BBC" w:rsidP="00AF750B">
            <w:pPr>
              <w:jc w:val="both"/>
              <w:rPr>
                <w:i/>
                <w:lang w:val="ro-RO"/>
              </w:rPr>
            </w:pPr>
            <w:r w:rsidRPr="0025594B">
              <w:rPr>
                <w:i/>
                <w:lang w:val="ro-RO"/>
              </w:rPr>
              <w:lastRenderedPageBreak/>
              <w:t xml:space="preserve">3. Disciplinele de studii cuprinse în planul de învăţământ au fişe în care sunt precizate obiectivele disciplinei, conţinutul tematic de bază, repartizarea numărului de ore de curs, seminar şi activităţi aplicative etc. pe teme, sistemul de evaluare a studenţilor, bibliografia minimală, în concordanţă cu macheta (Anexa </w:t>
            </w:r>
            <w:r>
              <w:rPr>
                <w:i/>
                <w:lang w:val="ro-RO"/>
              </w:rPr>
              <w:t>3</w:t>
            </w:r>
            <w:r w:rsidRPr="0025594B">
              <w:rPr>
                <w:i/>
                <w:lang w:val="ro-RO"/>
              </w:rPr>
              <w:t xml:space="preserve">), a metodologiei de implementare a </w:t>
            </w:r>
            <w:r>
              <w:rPr>
                <w:i/>
                <w:lang w:val="ro-RO"/>
              </w:rPr>
              <w:t>Cadrului naţional al calificărilor din învăţământul superior (CNCIS)</w:t>
            </w:r>
            <w:r w:rsidRPr="0025594B">
              <w:rPr>
                <w:i/>
                <w:lang w:val="ro-RO"/>
              </w:rPr>
              <w:t>.</w:t>
            </w:r>
          </w:p>
        </w:tc>
        <w:tc>
          <w:tcPr>
            <w:tcW w:w="6829" w:type="dxa"/>
            <w:vAlign w:val="center"/>
          </w:tcPr>
          <w:p w:rsidR="00B73BBC" w:rsidRPr="00C94EAC" w:rsidRDefault="00B73BBC" w:rsidP="00272315">
            <w:pPr>
              <w:jc w:val="both"/>
              <w:rPr>
                <w:lang w:val="ro-RO"/>
              </w:rPr>
            </w:pPr>
          </w:p>
        </w:tc>
      </w:tr>
      <w:tr w:rsidR="00B73BBC" w:rsidRPr="00985E74" w:rsidTr="00B73BBC">
        <w:trPr>
          <w:trHeight w:val="600"/>
        </w:trPr>
        <w:tc>
          <w:tcPr>
            <w:tcW w:w="7488" w:type="dxa"/>
            <w:vAlign w:val="center"/>
          </w:tcPr>
          <w:p w:rsidR="00B73BBC" w:rsidRPr="0025594B" w:rsidRDefault="00B73BBC" w:rsidP="00AF750B">
            <w:pPr>
              <w:jc w:val="both"/>
              <w:rPr>
                <w:i/>
                <w:lang w:val="ro-RO"/>
              </w:rPr>
            </w:pPr>
            <w:r w:rsidRPr="0025594B">
              <w:rPr>
                <w:i/>
                <w:lang w:val="ro-RO"/>
              </w:rPr>
              <w:t xml:space="preserve">4. </w:t>
            </w:r>
            <w:r w:rsidRPr="00684A62">
              <w:rPr>
                <w:i/>
                <w:lang w:val="ro-RO"/>
              </w:rPr>
              <w:t>Nomenclatorul disciplinelor cuprinse în planul de învăţământ şi conţinutul acestor discipline, precizat prin programele analitice, corespund domeniului de licenţă şi programului de studii pentru care s-au elaborat planurile de învăţământ respective şi sunt conforme misiunii declarate.</w:t>
            </w:r>
          </w:p>
        </w:tc>
        <w:tc>
          <w:tcPr>
            <w:tcW w:w="6829" w:type="dxa"/>
            <w:vAlign w:val="center"/>
          </w:tcPr>
          <w:p w:rsidR="00B73BBC" w:rsidRPr="00F03104" w:rsidRDefault="00B73BBC" w:rsidP="00272315">
            <w:pPr>
              <w:jc w:val="both"/>
              <w:rPr>
                <w:lang w:val="ro-RO"/>
              </w:rPr>
            </w:pPr>
          </w:p>
        </w:tc>
      </w:tr>
      <w:tr w:rsidR="00B73BBC" w:rsidRPr="00985E74" w:rsidTr="00B73BBC">
        <w:trPr>
          <w:trHeight w:val="600"/>
        </w:trPr>
        <w:tc>
          <w:tcPr>
            <w:tcW w:w="7488" w:type="dxa"/>
            <w:vAlign w:val="center"/>
          </w:tcPr>
          <w:p w:rsidR="00B73BBC" w:rsidRPr="00DA5E7F" w:rsidRDefault="00B73BBC" w:rsidP="00AF750B">
            <w:pPr>
              <w:jc w:val="both"/>
              <w:rPr>
                <w:i/>
                <w:lang w:val="ro-RO"/>
              </w:rPr>
            </w:pPr>
            <w:r w:rsidRPr="00DA5E7F">
              <w:rPr>
                <w:i/>
                <w:lang w:val="ro-RO"/>
              </w:rPr>
              <w:t xml:space="preserve">5. </w:t>
            </w:r>
            <w:r w:rsidRPr="00684A62">
              <w:rPr>
                <w:i/>
                <w:lang w:val="ro-RO"/>
              </w:rPr>
              <w:t>Anul universitar este structurat pe două semestre a câte 14 săptămâni în medie, cu 20 – 28 ore / săptămână, pentru ciclul I studii universitare de licenţă, în funcţie de domeniile de pregătire universitară, cu exceptia programelor de studii din domeniile reglementate la nivelul Uniunii Europene.</w:t>
            </w:r>
          </w:p>
        </w:tc>
        <w:tc>
          <w:tcPr>
            <w:tcW w:w="6829" w:type="dxa"/>
            <w:vAlign w:val="center"/>
          </w:tcPr>
          <w:p w:rsidR="00B73BBC" w:rsidRPr="00F03104" w:rsidRDefault="00B73BBC" w:rsidP="00272315">
            <w:pPr>
              <w:jc w:val="both"/>
              <w:rPr>
                <w:lang w:val="ro-RO"/>
              </w:rPr>
            </w:pPr>
          </w:p>
        </w:tc>
      </w:tr>
      <w:tr w:rsidR="00B73BBC" w:rsidRPr="00985E74" w:rsidTr="00B73BBC">
        <w:trPr>
          <w:trHeight w:val="600"/>
        </w:trPr>
        <w:tc>
          <w:tcPr>
            <w:tcW w:w="7488" w:type="dxa"/>
            <w:vAlign w:val="center"/>
          </w:tcPr>
          <w:p w:rsidR="00B73BBC" w:rsidRPr="00403D3D" w:rsidRDefault="00B73BBC" w:rsidP="00AF750B">
            <w:pPr>
              <w:jc w:val="both"/>
              <w:rPr>
                <w:i/>
                <w:lang w:val="ro-RO"/>
              </w:rPr>
            </w:pPr>
            <w:r w:rsidRPr="00403D3D">
              <w:rPr>
                <w:i/>
                <w:lang w:val="ro-RO"/>
              </w:rPr>
              <w:t xml:space="preserve">6. Fiecare semestru are câte 30 de credite de studiu transferabile în sistemul European (ECTS) pentru disciplinele obligatorii, indiferent de forma de învăţământ. </w:t>
            </w:r>
          </w:p>
        </w:tc>
        <w:tc>
          <w:tcPr>
            <w:tcW w:w="6829" w:type="dxa"/>
            <w:vAlign w:val="center"/>
          </w:tcPr>
          <w:p w:rsidR="00B73BBC" w:rsidRPr="00922F8C" w:rsidRDefault="00B73BBC" w:rsidP="00272315">
            <w:pPr>
              <w:jc w:val="both"/>
              <w:rPr>
                <w:lang w:val="ro-RO"/>
              </w:rPr>
            </w:pPr>
          </w:p>
        </w:tc>
      </w:tr>
      <w:tr w:rsidR="00B73BBC" w:rsidRPr="00985E74" w:rsidTr="00B73BBC">
        <w:trPr>
          <w:trHeight w:val="600"/>
        </w:trPr>
        <w:tc>
          <w:tcPr>
            <w:tcW w:w="7488" w:type="dxa"/>
            <w:vAlign w:val="center"/>
          </w:tcPr>
          <w:p w:rsidR="00B73BBC" w:rsidRPr="00403D3D" w:rsidRDefault="00B73BBC" w:rsidP="00AF750B">
            <w:pPr>
              <w:jc w:val="both"/>
              <w:rPr>
                <w:i/>
                <w:lang w:val="ro-RO"/>
              </w:rPr>
            </w:pPr>
            <w:r w:rsidRPr="00403D3D">
              <w:rPr>
                <w:i/>
                <w:lang w:val="ro-RO"/>
              </w:rPr>
              <w:t>7. Disciplinele facultative, indiferent de semestrul de studii în care sunt prevăzute în planul de învăţământ, se încheie cu formă de evaluare, iar punctele credit care li se atribuie sunt peste cele 30 ale semestrului respectiv.</w:t>
            </w:r>
          </w:p>
        </w:tc>
        <w:tc>
          <w:tcPr>
            <w:tcW w:w="6829" w:type="dxa"/>
            <w:vAlign w:val="center"/>
          </w:tcPr>
          <w:p w:rsidR="00B73BBC" w:rsidRPr="00C94EAC" w:rsidRDefault="00B73BBC" w:rsidP="00272315">
            <w:pPr>
              <w:jc w:val="both"/>
              <w:rPr>
                <w:lang w:val="ro-RO"/>
              </w:rPr>
            </w:pPr>
          </w:p>
        </w:tc>
      </w:tr>
      <w:tr w:rsidR="00B73BBC" w:rsidRPr="00985E74" w:rsidTr="00B73BBC">
        <w:trPr>
          <w:trHeight w:val="600"/>
        </w:trPr>
        <w:tc>
          <w:tcPr>
            <w:tcW w:w="7488" w:type="dxa"/>
            <w:vAlign w:val="center"/>
          </w:tcPr>
          <w:p w:rsidR="00B73BBC" w:rsidRPr="00403D3D" w:rsidRDefault="00B73BBC" w:rsidP="00AF750B">
            <w:pPr>
              <w:jc w:val="both"/>
              <w:rPr>
                <w:i/>
                <w:lang w:val="ro-RO"/>
              </w:rPr>
            </w:pPr>
            <w:r w:rsidRPr="00403D3D">
              <w:rPr>
                <w:i/>
                <w:lang w:val="ro-RO"/>
              </w:rPr>
              <w:t>8. Raportul dintre orele de curs şi cele privind activităţile didactice aplicative (seminarii, laboratoare, proiecte, stagii de practică etc.) este de 1/1, cu o abatere admisă de ± 20 %, cu exceptia programelor de studii din domeniile reglement</w:t>
            </w:r>
            <w:r>
              <w:rPr>
                <w:i/>
                <w:lang w:val="ro-RO"/>
              </w:rPr>
              <w:t>ate la nivelul Uniunii Europene</w:t>
            </w:r>
          </w:p>
        </w:tc>
        <w:tc>
          <w:tcPr>
            <w:tcW w:w="6829" w:type="dxa"/>
            <w:vAlign w:val="center"/>
          </w:tcPr>
          <w:p w:rsidR="00B73BBC" w:rsidRPr="00F03104" w:rsidRDefault="00B73BBC" w:rsidP="006B1A78">
            <w:pPr>
              <w:jc w:val="both"/>
              <w:rPr>
                <w:lang w:val="ro-RO"/>
              </w:rPr>
            </w:pPr>
          </w:p>
        </w:tc>
      </w:tr>
      <w:tr w:rsidR="00B73BBC" w:rsidRPr="00985E74" w:rsidTr="00B73BBC">
        <w:trPr>
          <w:trHeight w:val="600"/>
        </w:trPr>
        <w:tc>
          <w:tcPr>
            <w:tcW w:w="7488" w:type="dxa"/>
            <w:vAlign w:val="center"/>
          </w:tcPr>
          <w:p w:rsidR="00B73BBC" w:rsidRPr="00403D3D" w:rsidRDefault="00B73BBC" w:rsidP="00AF750B">
            <w:pPr>
              <w:jc w:val="both"/>
              <w:rPr>
                <w:i/>
                <w:lang w:val="ro-RO"/>
              </w:rPr>
            </w:pPr>
            <w:r w:rsidRPr="00403D3D">
              <w:rPr>
                <w:i/>
                <w:lang w:val="ro-RO"/>
              </w:rPr>
              <w:lastRenderedPageBreak/>
              <w:t>9. În programul de studii universitare de licenţă pentru care s-a elaborat planul de învăţământ sunt prevăzute stagii de practică de 2 – 3 săptămâni pe an, începând, de regulă, cu anul II de studii, precum şi stagii  pentru elaborarea lucrării de licenţă, în ultimul an de studii.</w:t>
            </w:r>
          </w:p>
        </w:tc>
        <w:tc>
          <w:tcPr>
            <w:tcW w:w="6829" w:type="dxa"/>
            <w:vAlign w:val="center"/>
          </w:tcPr>
          <w:p w:rsidR="00B73BBC" w:rsidRPr="00C94EAC" w:rsidRDefault="00B73BBC" w:rsidP="00272315">
            <w:pPr>
              <w:jc w:val="both"/>
              <w:rPr>
                <w:lang w:val="ro-RO"/>
              </w:rPr>
            </w:pPr>
          </w:p>
        </w:tc>
      </w:tr>
      <w:tr w:rsidR="00B73BBC" w:rsidRPr="00985E74" w:rsidTr="00B73BBC">
        <w:trPr>
          <w:trHeight w:val="600"/>
        </w:trPr>
        <w:tc>
          <w:tcPr>
            <w:tcW w:w="7488" w:type="dxa"/>
            <w:vAlign w:val="center"/>
          </w:tcPr>
          <w:p w:rsidR="00B73BBC" w:rsidRPr="00600DD7" w:rsidRDefault="00B73BBC" w:rsidP="00AF750B">
            <w:pPr>
              <w:jc w:val="both"/>
              <w:rPr>
                <w:i/>
                <w:lang w:val="ro-RO"/>
              </w:rPr>
            </w:pPr>
            <w:r w:rsidRPr="00600DD7">
              <w:rPr>
                <w:i/>
                <w:lang w:val="ro-RO"/>
              </w:rPr>
              <w:t xml:space="preserve">10. </w:t>
            </w:r>
            <w:r w:rsidRPr="00684A62">
              <w:rPr>
                <w:i/>
                <w:lang w:val="ro-RO"/>
              </w:rPr>
              <w:t>Pentru stagiile de practică, instituţia de învăţământ superior a încheiat convenţii de colaborare, contracte sau alte documente cu unităţile baze de practică.</w:t>
            </w:r>
          </w:p>
        </w:tc>
        <w:tc>
          <w:tcPr>
            <w:tcW w:w="6829" w:type="dxa"/>
            <w:vAlign w:val="center"/>
          </w:tcPr>
          <w:p w:rsidR="00B73BBC" w:rsidRPr="00C94EAC" w:rsidRDefault="00B73BBC" w:rsidP="00272315">
            <w:pPr>
              <w:jc w:val="both"/>
              <w:rPr>
                <w:lang w:val="ro-RO"/>
              </w:rPr>
            </w:pPr>
          </w:p>
        </w:tc>
      </w:tr>
      <w:tr w:rsidR="00B73BBC" w:rsidRPr="00985E74" w:rsidTr="00B73BBC">
        <w:trPr>
          <w:trHeight w:val="600"/>
        </w:trPr>
        <w:tc>
          <w:tcPr>
            <w:tcW w:w="7488" w:type="dxa"/>
            <w:vAlign w:val="center"/>
          </w:tcPr>
          <w:p w:rsidR="00B73BBC" w:rsidRPr="00600DD7" w:rsidRDefault="00B73BBC" w:rsidP="00AF750B">
            <w:pPr>
              <w:jc w:val="both"/>
              <w:rPr>
                <w:i/>
                <w:lang w:val="ro-RO"/>
              </w:rPr>
            </w:pPr>
            <w:r w:rsidRPr="00600DD7">
              <w:rPr>
                <w:i/>
                <w:lang w:val="ro-RO"/>
              </w:rPr>
              <w:t xml:space="preserve">11. </w:t>
            </w:r>
            <w:proofErr w:type="spellStart"/>
            <w:r w:rsidRPr="00600DD7">
              <w:rPr>
                <w:i/>
                <w:lang w:val="fr-FR"/>
              </w:rPr>
              <w:t>Cel</w:t>
            </w:r>
            <w:proofErr w:type="spellEnd"/>
            <w:r w:rsidRPr="00600DD7">
              <w:rPr>
                <w:i/>
                <w:lang w:val="fr-FR"/>
              </w:rPr>
              <w:t xml:space="preserve"> </w:t>
            </w:r>
            <w:proofErr w:type="spellStart"/>
            <w:r w:rsidRPr="00600DD7">
              <w:rPr>
                <w:i/>
                <w:lang w:val="fr-FR"/>
              </w:rPr>
              <w:t>puţin</w:t>
            </w:r>
            <w:proofErr w:type="spellEnd"/>
            <w:r w:rsidRPr="00600DD7">
              <w:rPr>
                <w:i/>
                <w:lang w:val="fr-FR"/>
              </w:rPr>
              <w:t xml:space="preserve"> 50</w:t>
            </w:r>
            <w:r>
              <w:rPr>
                <w:i/>
                <w:lang w:val="fr-FR"/>
              </w:rPr>
              <w:t xml:space="preserve"> </w:t>
            </w:r>
            <w:r w:rsidRPr="00600DD7">
              <w:rPr>
                <w:i/>
                <w:lang w:val="fr-FR"/>
              </w:rPr>
              <w:t xml:space="preserve">% </w:t>
            </w:r>
            <w:proofErr w:type="spellStart"/>
            <w:r w:rsidRPr="00600DD7">
              <w:rPr>
                <w:i/>
                <w:lang w:val="fr-FR"/>
              </w:rPr>
              <w:t>din</w:t>
            </w:r>
            <w:proofErr w:type="spellEnd"/>
            <w:r w:rsidRPr="00600DD7">
              <w:rPr>
                <w:i/>
                <w:lang w:val="fr-FR"/>
              </w:rPr>
              <w:t xml:space="preserve"> </w:t>
            </w:r>
            <w:proofErr w:type="spellStart"/>
            <w:r w:rsidRPr="00600DD7">
              <w:rPr>
                <w:i/>
                <w:lang w:val="fr-FR"/>
              </w:rPr>
              <w:t>formele</w:t>
            </w:r>
            <w:proofErr w:type="spellEnd"/>
            <w:r w:rsidRPr="00600DD7">
              <w:rPr>
                <w:i/>
                <w:lang w:val="fr-FR"/>
              </w:rPr>
              <w:t xml:space="preserve"> de </w:t>
            </w:r>
            <w:proofErr w:type="spellStart"/>
            <w:r w:rsidRPr="00600DD7">
              <w:rPr>
                <w:i/>
                <w:lang w:val="fr-FR"/>
              </w:rPr>
              <w:t>verificare</w:t>
            </w:r>
            <w:proofErr w:type="spellEnd"/>
            <w:r w:rsidRPr="00600DD7">
              <w:rPr>
                <w:i/>
                <w:lang w:val="fr-FR"/>
              </w:rPr>
              <w:t xml:space="preserve"> ale </w:t>
            </w:r>
            <w:proofErr w:type="spellStart"/>
            <w:r w:rsidRPr="00600DD7">
              <w:rPr>
                <w:i/>
                <w:lang w:val="fr-FR"/>
              </w:rPr>
              <w:t>disciplinelor</w:t>
            </w:r>
            <w:proofErr w:type="spellEnd"/>
            <w:r w:rsidRPr="00600DD7">
              <w:rPr>
                <w:i/>
                <w:lang w:val="fr-FR"/>
              </w:rPr>
              <w:t xml:space="preserve"> de </w:t>
            </w:r>
            <w:proofErr w:type="spellStart"/>
            <w:r w:rsidRPr="00600DD7">
              <w:rPr>
                <w:i/>
                <w:lang w:val="fr-FR"/>
              </w:rPr>
              <w:t>studii</w:t>
            </w:r>
            <w:proofErr w:type="spellEnd"/>
            <w:r w:rsidRPr="00600DD7">
              <w:rPr>
                <w:i/>
                <w:lang w:val="fr-FR"/>
              </w:rPr>
              <w:t xml:space="preserve"> </w:t>
            </w:r>
            <w:proofErr w:type="spellStart"/>
            <w:r w:rsidRPr="00600DD7">
              <w:rPr>
                <w:i/>
                <w:lang w:val="fr-FR"/>
              </w:rPr>
              <w:t>prevăzute</w:t>
            </w:r>
            <w:proofErr w:type="spellEnd"/>
            <w:r w:rsidRPr="00600DD7">
              <w:rPr>
                <w:i/>
                <w:lang w:val="fr-FR"/>
              </w:rPr>
              <w:t xml:space="preserve"> </w:t>
            </w:r>
            <w:proofErr w:type="spellStart"/>
            <w:r w:rsidRPr="00600DD7">
              <w:rPr>
                <w:i/>
                <w:lang w:val="fr-FR"/>
              </w:rPr>
              <w:t>în</w:t>
            </w:r>
            <w:proofErr w:type="spellEnd"/>
            <w:r w:rsidRPr="00600DD7">
              <w:rPr>
                <w:i/>
                <w:lang w:val="fr-FR"/>
              </w:rPr>
              <w:t xml:space="preserve"> </w:t>
            </w:r>
            <w:proofErr w:type="spellStart"/>
            <w:r w:rsidRPr="00600DD7">
              <w:rPr>
                <w:i/>
                <w:lang w:val="fr-FR"/>
              </w:rPr>
              <w:t>planul</w:t>
            </w:r>
            <w:proofErr w:type="spellEnd"/>
            <w:r w:rsidRPr="00600DD7">
              <w:rPr>
                <w:i/>
                <w:lang w:val="fr-FR"/>
              </w:rPr>
              <w:t xml:space="preserve"> de </w:t>
            </w:r>
            <w:proofErr w:type="spellStart"/>
            <w:r w:rsidRPr="00600DD7">
              <w:rPr>
                <w:i/>
                <w:lang w:val="fr-FR"/>
              </w:rPr>
              <w:t>învăţământ</w:t>
            </w:r>
            <w:proofErr w:type="spellEnd"/>
            <w:r w:rsidRPr="00600DD7">
              <w:rPr>
                <w:i/>
                <w:lang w:val="fr-FR"/>
              </w:rPr>
              <w:t xml:space="preserve"> </w:t>
            </w:r>
            <w:proofErr w:type="spellStart"/>
            <w:r w:rsidRPr="00600DD7">
              <w:rPr>
                <w:i/>
                <w:lang w:val="fr-FR"/>
              </w:rPr>
              <w:t>sunt</w:t>
            </w:r>
            <w:proofErr w:type="spellEnd"/>
            <w:r w:rsidRPr="00600DD7">
              <w:rPr>
                <w:i/>
                <w:lang w:val="fr-FR"/>
              </w:rPr>
              <w:t xml:space="preserve"> </w:t>
            </w:r>
            <w:proofErr w:type="spellStart"/>
            <w:r w:rsidRPr="00600DD7">
              <w:rPr>
                <w:i/>
                <w:lang w:val="fr-FR"/>
              </w:rPr>
              <w:t>examene</w:t>
            </w:r>
            <w:proofErr w:type="spellEnd"/>
            <w:r w:rsidRPr="00600DD7">
              <w:rPr>
                <w:i/>
                <w:lang w:val="fr-FR"/>
              </w:rPr>
              <w:t>.</w:t>
            </w:r>
          </w:p>
        </w:tc>
        <w:tc>
          <w:tcPr>
            <w:tcW w:w="6829" w:type="dxa"/>
            <w:vAlign w:val="center"/>
          </w:tcPr>
          <w:p w:rsidR="00B73BBC" w:rsidRPr="00760FF2" w:rsidRDefault="00B73BBC" w:rsidP="00760FF2">
            <w:pPr>
              <w:jc w:val="both"/>
              <w:rPr>
                <w:lang w:val="ro-RO"/>
              </w:rPr>
            </w:pPr>
          </w:p>
        </w:tc>
      </w:tr>
      <w:tr w:rsidR="00B73BBC" w:rsidTr="00B73BBC">
        <w:trPr>
          <w:trHeight w:val="600"/>
        </w:trPr>
        <w:tc>
          <w:tcPr>
            <w:tcW w:w="7488" w:type="dxa"/>
            <w:shd w:val="clear" w:color="auto" w:fill="D9D9D9"/>
            <w:vAlign w:val="center"/>
          </w:tcPr>
          <w:p w:rsidR="00B73BBC" w:rsidRDefault="00B73BBC" w:rsidP="00AF750B">
            <w:pPr>
              <w:rPr>
                <w:b/>
                <w:lang w:val="ro-RO"/>
              </w:rPr>
            </w:pPr>
            <w:r w:rsidRPr="007E367E">
              <w:rPr>
                <w:b/>
                <w:lang w:val="ro-RO"/>
              </w:rPr>
              <w:t>V. STUDENŢII</w:t>
            </w:r>
          </w:p>
        </w:tc>
        <w:tc>
          <w:tcPr>
            <w:tcW w:w="6829" w:type="dxa"/>
            <w:shd w:val="clear" w:color="auto" w:fill="D9D9D9"/>
            <w:vAlign w:val="center"/>
          </w:tcPr>
          <w:p w:rsidR="00B73BBC" w:rsidRPr="006C1045" w:rsidRDefault="00B73BBC" w:rsidP="00AF750B">
            <w:pPr>
              <w:jc w:val="center"/>
              <w:rPr>
                <w:b/>
                <w:i/>
                <w:lang w:val="ro-RO"/>
              </w:rPr>
            </w:pPr>
          </w:p>
        </w:tc>
      </w:tr>
      <w:tr w:rsidR="00B73BBC" w:rsidRPr="00767259" w:rsidTr="00B73BBC">
        <w:trPr>
          <w:trHeight w:val="600"/>
        </w:trPr>
        <w:tc>
          <w:tcPr>
            <w:tcW w:w="7488" w:type="dxa"/>
            <w:vAlign w:val="center"/>
          </w:tcPr>
          <w:p w:rsidR="00B73BBC" w:rsidRPr="00DE1265" w:rsidRDefault="00B73BBC" w:rsidP="00AF750B">
            <w:pPr>
              <w:jc w:val="both"/>
              <w:rPr>
                <w:i/>
                <w:lang w:val="ro-RO"/>
              </w:rPr>
            </w:pPr>
            <w:r w:rsidRPr="00767259">
              <w:rPr>
                <w:i/>
                <w:lang w:val="it-IT"/>
              </w:rPr>
              <w:t>1. Recrutarea studenţilor se face prin proceduri de admitere proprii.</w:t>
            </w:r>
          </w:p>
        </w:tc>
        <w:tc>
          <w:tcPr>
            <w:tcW w:w="6829" w:type="dxa"/>
            <w:vAlign w:val="center"/>
          </w:tcPr>
          <w:p w:rsidR="00B73BBC" w:rsidRPr="00F03104" w:rsidRDefault="00B73BBC" w:rsidP="00272315">
            <w:pPr>
              <w:jc w:val="both"/>
              <w:rPr>
                <w:lang w:val="ro-RO"/>
              </w:rPr>
            </w:pPr>
          </w:p>
        </w:tc>
      </w:tr>
      <w:tr w:rsidR="00B73BBC" w:rsidRPr="00985E74" w:rsidTr="00B73BBC">
        <w:trPr>
          <w:trHeight w:val="600"/>
        </w:trPr>
        <w:tc>
          <w:tcPr>
            <w:tcW w:w="7488" w:type="dxa"/>
            <w:vAlign w:val="center"/>
          </w:tcPr>
          <w:p w:rsidR="00B73BBC" w:rsidRPr="00885BCC" w:rsidRDefault="00B73BBC" w:rsidP="00AF750B">
            <w:pPr>
              <w:jc w:val="both"/>
              <w:rPr>
                <w:i/>
                <w:lang w:val="fr-FR"/>
              </w:rPr>
            </w:pPr>
            <w:r w:rsidRPr="00885BCC">
              <w:rPr>
                <w:i/>
                <w:lang w:val="fr-FR"/>
              </w:rPr>
              <w:t xml:space="preserve">2. </w:t>
            </w:r>
            <w:proofErr w:type="spellStart"/>
            <w:r w:rsidRPr="00885BCC">
              <w:rPr>
                <w:i/>
                <w:lang w:val="fr-FR"/>
              </w:rPr>
              <w:t>Înscrierea</w:t>
            </w:r>
            <w:proofErr w:type="spellEnd"/>
            <w:r w:rsidRPr="00885BCC">
              <w:rPr>
                <w:i/>
                <w:lang w:val="fr-FR"/>
              </w:rPr>
              <w:t xml:space="preserve"> la </w:t>
            </w:r>
            <w:proofErr w:type="spellStart"/>
            <w:r w:rsidRPr="00885BCC">
              <w:rPr>
                <w:i/>
                <w:lang w:val="fr-FR"/>
              </w:rPr>
              <w:t>concursul</w:t>
            </w:r>
            <w:proofErr w:type="spellEnd"/>
            <w:r w:rsidRPr="00885BCC">
              <w:rPr>
                <w:i/>
                <w:lang w:val="fr-FR"/>
              </w:rPr>
              <w:t xml:space="preserve"> de </w:t>
            </w:r>
            <w:proofErr w:type="spellStart"/>
            <w:r w:rsidRPr="00885BCC">
              <w:rPr>
                <w:i/>
                <w:lang w:val="fr-FR"/>
              </w:rPr>
              <w:t>admitere</w:t>
            </w:r>
            <w:proofErr w:type="spellEnd"/>
            <w:r w:rsidRPr="00885BCC">
              <w:rPr>
                <w:i/>
                <w:lang w:val="fr-FR"/>
              </w:rPr>
              <w:t xml:space="preserve"> se face</w:t>
            </w:r>
            <w:r w:rsidRPr="00885BCC">
              <w:rPr>
                <w:i/>
                <w:color w:val="FF0000"/>
                <w:lang w:val="fr-FR"/>
              </w:rPr>
              <w:t xml:space="preserve"> </w:t>
            </w:r>
            <w:proofErr w:type="spellStart"/>
            <w:r w:rsidRPr="00885BCC">
              <w:rPr>
                <w:i/>
                <w:lang w:val="fr-FR"/>
              </w:rPr>
              <w:t>pe</w:t>
            </w:r>
            <w:proofErr w:type="spellEnd"/>
            <w:r w:rsidRPr="00885BCC">
              <w:rPr>
                <w:i/>
                <w:lang w:val="fr-FR"/>
              </w:rPr>
              <w:t xml:space="preserve"> </w:t>
            </w:r>
            <w:proofErr w:type="spellStart"/>
            <w:r w:rsidRPr="00885BCC">
              <w:rPr>
                <w:i/>
                <w:lang w:val="fr-FR"/>
              </w:rPr>
              <w:t>baza</w:t>
            </w:r>
            <w:proofErr w:type="spellEnd"/>
            <w:r w:rsidRPr="00885BCC">
              <w:rPr>
                <w:i/>
                <w:lang w:val="fr-FR"/>
              </w:rPr>
              <w:t xml:space="preserve"> </w:t>
            </w:r>
            <w:proofErr w:type="spellStart"/>
            <w:r w:rsidRPr="00885BCC">
              <w:rPr>
                <w:i/>
                <w:lang w:val="fr-FR"/>
              </w:rPr>
              <w:t>diplomei</w:t>
            </w:r>
            <w:proofErr w:type="spellEnd"/>
            <w:r w:rsidRPr="00885BCC">
              <w:rPr>
                <w:i/>
                <w:lang w:val="fr-FR"/>
              </w:rPr>
              <w:t xml:space="preserve"> de </w:t>
            </w:r>
            <w:proofErr w:type="spellStart"/>
            <w:r w:rsidRPr="00885BCC">
              <w:rPr>
                <w:i/>
                <w:lang w:val="fr-FR"/>
              </w:rPr>
              <w:t>bacalaureat</w:t>
            </w:r>
            <w:proofErr w:type="spellEnd"/>
            <w:r w:rsidRPr="00885BCC">
              <w:rPr>
                <w:i/>
                <w:color w:val="FF0000"/>
                <w:lang w:val="fr-FR"/>
              </w:rPr>
              <w:t xml:space="preserve"> </w:t>
            </w:r>
            <w:proofErr w:type="spellStart"/>
            <w:r w:rsidRPr="00885BCC">
              <w:rPr>
                <w:i/>
                <w:lang w:val="fr-FR"/>
              </w:rPr>
              <w:t>sau</w:t>
            </w:r>
            <w:proofErr w:type="spellEnd"/>
            <w:r w:rsidRPr="00885BCC">
              <w:rPr>
                <w:i/>
                <w:lang w:val="fr-FR"/>
              </w:rPr>
              <w:t xml:space="preserve"> a </w:t>
            </w:r>
            <w:proofErr w:type="spellStart"/>
            <w:r w:rsidRPr="00885BCC">
              <w:rPr>
                <w:i/>
                <w:lang w:val="fr-FR"/>
              </w:rPr>
              <w:t>altor</w:t>
            </w:r>
            <w:proofErr w:type="spellEnd"/>
            <w:r w:rsidRPr="00885BCC">
              <w:rPr>
                <w:i/>
                <w:lang w:val="fr-FR"/>
              </w:rPr>
              <w:t xml:space="preserve"> acte de </w:t>
            </w:r>
            <w:proofErr w:type="spellStart"/>
            <w:r w:rsidRPr="00885BCC">
              <w:rPr>
                <w:i/>
                <w:lang w:val="fr-FR"/>
              </w:rPr>
              <w:t>studii</w:t>
            </w:r>
            <w:proofErr w:type="spellEnd"/>
            <w:r w:rsidRPr="00885BCC">
              <w:rPr>
                <w:i/>
                <w:lang w:val="fr-FR"/>
              </w:rPr>
              <w:t xml:space="preserve"> </w:t>
            </w:r>
            <w:proofErr w:type="spellStart"/>
            <w:r w:rsidRPr="00885BCC">
              <w:rPr>
                <w:i/>
                <w:lang w:val="fr-FR"/>
              </w:rPr>
              <w:t>echivalente</w:t>
            </w:r>
            <w:proofErr w:type="spellEnd"/>
            <w:r w:rsidRPr="00885BCC">
              <w:rPr>
                <w:i/>
                <w:lang w:val="fr-FR"/>
              </w:rPr>
              <w:t>.</w:t>
            </w:r>
          </w:p>
        </w:tc>
        <w:tc>
          <w:tcPr>
            <w:tcW w:w="6829" w:type="dxa"/>
            <w:vAlign w:val="center"/>
          </w:tcPr>
          <w:p w:rsidR="00B73BBC" w:rsidRPr="00C94EAC" w:rsidRDefault="00B73BBC" w:rsidP="00E258AC">
            <w:pPr>
              <w:rPr>
                <w:lang w:val="ro-RO"/>
              </w:rPr>
            </w:pPr>
          </w:p>
        </w:tc>
      </w:tr>
      <w:tr w:rsidR="00B73BBC" w:rsidRPr="00985E74" w:rsidTr="00B73BBC">
        <w:trPr>
          <w:trHeight w:val="600"/>
        </w:trPr>
        <w:tc>
          <w:tcPr>
            <w:tcW w:w="7488" w:type="dxa"/>
            <w:vAlign w:val="center"/>
          </w:tcPr>
          <w:p w:rsidR="00B73BBC" w:rsidRPr="00885BCC" w:rsidRDefault="00B73BBC" w:rsidP="00AF750B">
            <w:pPr>
              <w:jc w:val="both"/>
              <w:rPr>
                <w:i/>
                <w:lang w:val="ro-RO"/>
              </w:rPr>
            </w:pPr>
            <w:r w:rsidRPr="00885BCC">
              <w:rPr>
                <w:i/>
                <w:lang w:val="ro-RO"/>
              </w:rPr>
              <w:t>3. Formaţiile de studiu (serii, grupe, subgrupe) sunt astfel dimensionate încât să asigure desfăşurarea eficientă a procesului de învăţământ.</w:t>
            </w:r>
          </w:p>
        </w:tc>
        <w:tc>
          <w:tcPr>
            <w:tcW w:w="6829" w:type="dxa"/>
            <w:vAlign w:val="center"/>
          </w:tcPr>
          <w:p w:rsidR="00B73BBC" w:rsidRPr="00F03104" w:rsidRDefault="00B73BBC" w:rsidP="00272315">
            <w:pPr>
              <w:jc w:val="both"/>
              <w:rPr>
                <w:lang w:val="ro-RO"/>
              </w:rPr>
            </w:pPr>
          </w:p>
        </w:tc>
      </w:tr>
      <w:tr w:rsidR="00B73BBC" w:rsidRPr="00985E74" w:rsidTr="00B73BBC">
        <w:trPr>
          <w:trHeight w:val="600"/>
        </w:trPr>
        <w:tc>
          <w:tcPr>
            <w:tcW w:w="7488" w:type="dxa"/>
            <w:vAlign w:val="center"/>
          </w:tcPr>
          <w:p w:rsidR="00B73BBC" w:rsidRPr="007633BD" w:rsidRDefault="00B73BBC" w:rsidP="00AF750B">
            <w:pPr>
              <w:pStyle w:val="Heading2"/>
              <w:rPr>
                <w:b w:val="0"/>
                <w:i/>
                <w:lang w:val="ro-RO" w:eastAsia="en-US"/>
              </w:rPr>
            </w:pPr>
            <w:r w:rsidRPr="007633BD">
              <w:rPr>
                <w:b w:val="0"/>
                <w:i/>
                <w:lang w:val="ro-RO" w:eastAsia="en-US"/>
              </w:rPr>
              <w:t>4. Din orarul facultăţii pentru programul de studii supus evaluării rezultă posibilitatea desfăşurării normale a procesului de învăţământ, în condiţiile legii.</w:t>
            </w:r>
          </w:p>
        </w:tc>
        <w:tc>
          <w:tcPr>
            <w:tcW w:w="6829" w:type="dxa"/>
            <w:vAlign w:val="center"/>
          </w:tcPr>
          <w:p w:rsidR="00B73BBC" w:rsidRPr="00F03104" w:rsidRDefault="00B73BBC" w:rsidP="00272315">
            <w:pPr>
              <w:jc w:val="both"/>
              <w:rPr>
                <w:lang w:val="ro-RO"/>
              </w:rPr>
            </w:pPr>
          </w:p>
        </w:tc>
      </w:tr>
      <w:tr w:rsidR="00B73BBC" w:rsidRPr="00767259" w:rsidTr="00B73BBC">
        <w:trPr>
          <w:trHeight w:val="600"/>
        </w:trPr>
        <w:tc>
          <w:tcPr>
            <w:tcW w:w="7488" w:type="dxa"/>
            <w:vAlign w:val="center"/>
          </w:tcPr>
          <w:p w:rsidR="00B73BBC" w:rsidRPr="007633BD" w:rsidRDefault="00B73BBC" w:rsidP="00AF750B">
            <w:pPr>
              <w:pStyle w:val="Heading2"/>
              <w:rPr>
                <w:b w:val="0"/>
                <w:i/>
                <w:lang w:val="ro-RO" w:eastAsia="en-US"/>
              </w:rPr>
            </w:pPr>
            <w:r w:rsidRPr="007633BD">
              <w:rPr>
                <w:b w:val="0"/>
                <w:i/>
                <w:lang w:val="ro-RO" w:eastAsia="en-US"/>
              </w:rPr>
              <w:t>5. Promovabilitatea studenţilor pe fiecare an de studiu este de cel puţin 40 % din numărul total de studenţi înscrişi  anul respectiv.</w:t>
            </w:r>
          </w:p>
        </w:tc>
        <w:tc>
          <w:tcPr>
            <w:tcW w:w="6829" w:type="dxa"/>
            <w:vAlign w:val="center"/>
          </w:tcPr>
          <w:p w:rsidR="00B73BBC" w:rsidRPr="00760FF2" w:rsidRDefault="00B73BBC" w:rsidP="00272315">
            <w:pPr>
              <w:jc w:val="both"/>
              <w:rPr>
                <w:lang w:val="ro-RO"/>
              </w:rPr>
            </w:pPr>
          </w:p>
        </w:tc>
      </w:tr>
      <w:tr w:rsidR="00B73BBC" w:rsidRPr="00985E74" w:rsidTr="00B73BBC">
        <w:trPr>
          <w:trHeight w:val="600"/>
        </w:trPr>
        <w:tc>
          <w:tcPr>
            <w:tcW w:w="7488" w:type="dxa"/>
            <w:vAlign w:val="center"/>
          </w:tcPr>
          <w:p w:rsidR="00B73BBC" w:rsidRPr="007633BD" w:rsidRDefault="00B73BBC" w:rsidP="00AF750B">
            <w:pPr>
              <w:pStyle w:val="Heading2"/>
              <w:rPr>
                <w:b w:val="0"/>
                <w:i/>
                <w:lang w:val="ro-RO" w:eastAsia="en-US"/>
              </w:rPr>
            </w:pPr>
            <w:r w:rsidRPr="007633BD">
              <w:rPr>
                <w:b w:val="0"/>
                <w:i/>
                <w:lang w:val="ro-RO" w:eastAsia="en-US"/>
              </w:rPr>
              <w:t xml:space="preserve">6. Rezultatele obţinute de student pe parcursul şcolarizării sunt înscrise în Registrul matricol şi atestate </w:t>
            </w:r>
            <w:r w:rsidRPr="007633BD">
              <w:rPr>
                <w:b w:val="0"/>
                <w:i/>
                <w:color w:val="002060"/>
                <w:lang w:val="ro-RO" w:eastAsia="en-US"/>
              </w:rPr>
              <w:t xml:space="preserve">prin </w:t>
            </w:r>
            <w:r w:rsidRPr="007633BD">
              <w:rPr>
                <w:b w:val="0"/>
                <w:i/>
                <w:color w:val="auto"/>
                <w:lang w:val="ro-RO" w:eastAsia="en-US"/>
              </w:rPr>
              <w:t>Suplimentul la diplomă.</w:t>
            </w:r>
            <w:r w:rsidRPr="007633BD">
              <w:rPr>
                <w:b w:val="0"/>
                <w:i/>
                <w:lang w:val="ro-RO" w:eastAsia="en-US"/>
              </w:rPr>
              <w:t xml:space="preserve"> </w:t>
            </w:r>
          </w:p>
        </w:tc>
        <w:tc>
          <w:tcPr>
            <w:tcW w:w="6829" w:type="dxa"/>
            <w:vAlign w:val="center"/>
          </w:tcPr>
          <w:p w:rsidR="00B73BBC" w:rsidRPr="00C94EAC" w:rsidRDefault="00B73BBC" w:rsidP="00272315">
            <w:pPr>
              <w:jc w:val="both"/>
              <w:rPr>
                <w:lang w:val="ro-RO"/>
              </w:rPr>
            </w:pPr>
          </w:p>
        </w:tc>
      </w:tr>
      <w:tr w:rsidR="00B73BBC" w:rsidRPr="00985E74" w:rsidTr="00B73BBC">
        <w:trPr>
          <w:trHeight w:val="600"/>
        </w:trPr>
        <w:tc>
          <w:tcPr>
            <w:tcW w:w="7488" w:type="dxa"/>
            <w:vAlign w:val="center"/>
          </w:tcPr>
          <w:p w:rsidR="00B73BBC" w:rsidRPr="007633BD" w:rsidRDefault="00B73BBC" w:rsidP="00AF750B">
            <w:pPr>
              <w:pStyle w:val="Heading2"/>
              <w:rPr>
                <w:b w:val="0"/>
                <w:i/>
                <w:lang w:val="ro-RO" w:eastAsia="en-US"/>
              </w:rPr>
            </w:pPr>
            <w:r w:rsidRPr="007633BD">
              <w:rPr>
                <w:b w:val="0"/>
                <w:i/>
                <w:lang w:val="ro-RO" w:eastAsia="en-US"/>
              </w:rPr>
              <w:t>7. Instituţia are reglementată procedura de promovare a studentului dintr-un an de studiu în altul, în funcţie de creditele de studiu (ECTS) acumulate, precum şi procedura de promovare a doi ani de studiu într-un singur an.</w:t>
            </w:r>
          </w:p>
        </w:tc>
        <w:tc>
          <w:tcPr>
            <w:tcW w:w="6829" w:type="dxa"/>
            <w:vAlign w:val="center"/>
          </w:tcPr>
          <w:p w:rsidR="00B73BBC" w:rsidRPr="00F03104" w:rsidRDefault="00B73BBC" w:rsidP="00272315">
            <w:pPr>
              <w:jc w:val="both"/>
              <w:rPr>
                <w:lang w:val="ro-RO"/>
              </w:rPr>
            </w:pPr>
          </w:p>
        </w:tc>
      </w:tr>
      <w:tr w:rsidR="00B73BBC" w:rsidRPr="00985E74" w:rsidTr="00B73BBC">
        <w:trPr>
          <w:trHeight w:val="600"/>
        </w:trPr>
        <w:tc>
          <w:tcPr>
            <w:tcW w:w="7488" w:type="dxa"/>
            <w:vAlign w:val="center"/>
          </w:tcPr>
          <w:p w:rsidR="00B73BBC" w:rsidRPr="00403D3D" w:rsidRDefault="00B73BBC" w:rsidP="00AF750B">
            <w:pPr>
              <w:jc w:val="both"/>
              <w:rPr>
                <w:i/>
                <w:lang w:val="ro-RO"/>
              </w:rPr>
            </w:pPr>
            <w:r w:rsidRPr="00403D3D">
              <w:rPr>
                <w:i/>
                <w:lang w:val="ro-RO"/>
              </w:rPr>
              <w:t>8. Transferul studenţilor între instituţiile de învăţământ superior, facultăţi şi specializări este reglementat prin regulamente interne şi nu se efectuează pe parcursul anului de învăţământ.</w:t>
            </w:r>
          </w:p>
        </w:tc>
        <w:tc>
          <w:tcPr>
            <w:tcW w:w="6829" w:type="dxa"/>
            <w:vAlign w:val="center"/>
          </w:tcPr>
          <w:p w:rsidR="00B73BBC" w:rsidRPr="00F03104" w:rsidRDefault="00B73BBC" w:rsidP="00272315">
            <w:pPr>
              <w:jc w:val="both"/>
              <w:rPr>
                <w:lang w:val="ro-RO"/>
              </w:rPr>
            </w:pPr>
          </w:p>
        </w:tc>
      </w:tr>
      <w:tr w:rsidR="00B73BBC" w:rsidRPr="00985E74" w:rsidTr="00B73BBC">
        <w:trPr>
          <w:trHeight w:val="600"/>
        </w:trPr>
        <w:tc>
          <w:tcPr>
            <w:tcW w:w="7488" w:type="dxa"/>
            <w:vAlign w:val="center"/>
          </w:tcPr>
          <w:p w:rsidR="00B73BBC" w:rsidRPr="00403D3D" w:rsidRDefault="00B73BBC" w:rsidP="00AF750B">
            <w:pPr>
              <w:jc w:val="both"/>
              <w:rPr>
                <w:i/>
                <w:lang w:val="ro-RO"/>
              </w:rPr>
            </w:pPr>
            <w:r w:rsidRPr="00403D3D">
              <w:rPr>
                <w:i/>
                <w:lang w:val="ro-RO"/>
              </w:rPr>
              <w:lastRenderedPageBreak/>
              <w:t>9. Primele trei serii de absolvenţi au susţinut examenul de licenţă la instituţii acreditate desemnate de ARACIS, cu comisii din care nu au făcut parte cadrele didactice ca</w:t>
            </w:r>
            <w:r>
              <w:rPr>
                <w:i/>
                <w:lang w:val="ro-RO"/>
              </w:rPr>
              <w:t>re le-au predat sau seminarizat.</w:t>
            </w:r>
          </w:p>
        </w:tc>
        <w:tc>
          <w:tcPr>
            <w:tcW w:w="6829" w:type="dxa"/>
            <w:vAlign w:val="center"/>
          </w:tcPr>
          <w:p w:rsidR="00B73BBC" w:rsidRPr="00C94EAC" w:rsidRDefault="00B73BBC" w:rsidP="00E258AC">
            <w:pPr>
              <w:rPr>
                <w:lang w:val="ro-RO"/>
              </w:rPr>
            </w:pPr>
          </w:p>
        </w:tc>
      </w:tr>
      <w:tr w:rsidR="00B73BBC" w:rsidRPr="00985E74" w:rsidTr="00B73BBC">
        <w:trPr>
          <w:trHeight w:val="600"/>
        </w:trPr>
        <w:tc>
          <w:tcPr>
            <w:tcW w:w="7488" w:type="dxa"/>
            <w:vAlign w:val="center"/>
          </w:tcPr>
          <w:p w:rsidR="00B73BBC" w:rsidRPr="00403D3D" w:rsidRDefault="00B73BBC" w:rsidP="00AF750B">
            <w:pPr>
              <w:jc w:val="both"/>
              <w:rPr>
                <w:i/>
                <w:lang w:val="ro-RO"/>
              </w:rPr>
            </w:pPr>
            <w:r w:rsidRPr="00403D3D">
              <w:rPr>
                <w:i/>
                <w:lang w:val="ro-RO"/>
              </w:rPr>
              <w:t xml:space="preserve">10. Instituţia face dovada: a) că minimum 51 % din totalul absolvenţilor fiecăreia din primele trei serii de absolvenţi / fiecăreia din seriile de absolvenţi ulterioare precedentei evaluări externe, după caz, au promovat examenul de licenţă şi b) că a elaborat proceduri pentru urmărirea în carieră a absolvenţilor, le aplică şi elaborează rapoarte anuale pe care le face publice, inclusiv pe site-ul universităţii. </w:t>
            </w:r>
          </w:p>
        </w:tc>
        <w:tc>
          <w:tcPr>
            <w:tcW w:w="6829" w:type="dxa"/>
            <w:vAlign w:val="center"/>
          </w:tcPr>
          <w:p w:rsidR="00B73BBC" w:rsidRPr="00F03104" w:rsidRDefault="00B73BBC" w:rsidP="00272315">
            <w:pPr>
              <w:jc w:val="both"/>
              <w:rPr>
                <w:lang w:val="ro-RO"/>
              </w:rPr>
            </w:pPr>
          </w:p>
        </w:tc>
      </w:tr>
      <w:tr w:rsidR="00B73BBC" w:rsidRPr="00C55EFA" w:rsidTr="00B73BBC">
        <w:trPr>
          <w:trHeight w:val="600"/>
        </w:trPr>
        <w:tc>
          <w:tcPr>
            <w:tcW w:w="7488" w:type="dxa"/>
            <w:vAlign w:val="center"/>
          </w:tcPr>
          <w:p w:rsidR="00B73BBC" w:rsidRPr="001031BB" w:rsidRDefault="00B73BBC" w:rsidP="00AF750B">
            <w:pPr>
              <w:jc w:val="both"/>
              <w:rPr>
                <w:i/>
              </w:rPr>
            </w:pPr>
            <w:r w:rsidRPr="001031BB">
              <w:rPr>
                <w:i/>
              </w:rPr>
              <w:t xml:space="preserve">11. </w:t>
            </w:r>
            <w:proofErr w:type="spellStart"/>
            <w:r w:rsidRPr="001031BB">
              <w:rPr>
                <w:i/>
              </w:rPr>
              <w:t>Conferirea</w:t>
            </w:r>
            <w:proofErr w:type="spellEnd"/>
            <w:r w:rsidRPr="001031BB">
              <w:rPr>
                <w:i/>
              </w:rPr>
              <w:t xml:space="preserve"> </w:t>
            </w:r>
            <w:proofErr w:type="spellStart"/>
            <w:r w:rsidRPr="001031BB">
              <w:rPr>
                <w:i/>
              </w:rPr>
              <w:t>certificatelor</w:t>
            </w:r>
            <w:proofErr w:type="spellEnd"/>
            <w:r w:rsidRPr="001031BB">
              <w:rPr>
                <w:i/>
              </w:rPr>
              <w:t xml:space="preserve"> </w:t>
            </w:r>
            <w:proofErr w:type="spellStart"/>
            <w:r w:rsidRPr="001031BB">
              <w:rPr>
                <w:i/>
              </w:rPr>
              <w:t>şi</w:t>
            </w:r>
            <w:proofErr w:type="spellEnd"/>
            <w:r w:rsidRPr="001031BB">
              <w:rPr>
                <w:i/>
              </w:rPr>
              <w:t xml:space="preserve"> a </w:t>
            </w:r>
            <w:proofErr w:type="spellStart"/>
            <w:r w:rsidRPr="001031BB">
              <w:rPr>
                <w:i/>
              </w:rPr>
              <w:t>diplomelor</w:t>
            </w:r>
            <w:proofErr w:type="spellEnd"/>
            <w:r w:rsidRPr="001031BB">
              <w:rPr>
                <w:i/>
              </w:rPr>
              <w:t xml:space="preserve"> de </w:t>
            </w:r>
            <w:proofErr w:type="spellStart"/>
            <w:r w:rsidRPr="001031BB">
              <w:rPr>
                <w:i/>
              </w:rPr>
              <w:t>studii</w:t>
            </w:r>
            <w:proofErr w:type="spellEnd"/>
            <w:r w:rsidRPr="001031BB">
              <w:rPr>
                <w:i/>
              </w:rPr>
              <w:t xml:space="preserve"> </w:t>
            </w:r>
            <w:proofErr w:type="spellStart"/>
            <w:r w:rsidRPr="001031BB">
              <w:rPr>
                <w:i/>
              </w:rPr>
              <w:t>respectă</w:t>
            </w:r>
            <w:proofErr w:type="spellEnd"/>
            <w:r w:rsidRPr="001031BB">
              <w:rPr>
                <w:i/>
              </w:rPr>
              <w:t xml:space="preserve"> </w:t>
            </w:r>
            <w:proofErr w:type="spellStart"/>
            <w:r w:rsidRPr="001031BB">
              <w:rPr>
                <w:i/>
              </w:rPr>
              <w:t>legislaţia</w:t>
            </w:r>
            <w:proofErr w:type="spellEnd"/>
            <w:r w:rsidRPr="001031BB">
              <w:rPr>
                <w:i/>
              </w:rPr>
              <w:t xml:space="preserve"> </w:t>
            </w:r>
            <w:proofErr w:type="spellStart"/>
            <w:r w:rsidRPr="001031BB">
              <w:rPr>
                <w:i/>
              </w:rPr>
              <w:t>în</w:t>
            </w:r>
            <w:proofErr w:type="spellEnd"/>
            <w:r w:rsidRPr="001031BB">
              <w:rPr>
                <w:i/>
              </w:rPr>
              <w:t xml:space="preserve"> </w:t>
            </w:r>
            <w:proofErr w:type="spellStart"/>
            <w:r w:rsidRPr="001031BB">
              <w:rPr>
                <w:i/>
              </w:rPr>
              <w:t>vigoare</w:t>
            </w:r>
            <w:proofErr w:type="spellEnd"/>
            <w:r w:rsidRPr="001031BB">
              <w:rPr>
                <w:i/>
              </w:rPr>
              <w:t>.</w:t>
            </w:r>
          </w:p>
        </w:tc>
        <w:tc>
          <w:tcPr>
            <w:tcW w:w="6829" w:type="dxa"/>
            <w:vAlign w:val="center"/>
          </w:tcPr>
          <w:p w:rsidR="00B73BBC" w:rsidRPr="00C94EAC" w:rsidRDefault="00B73BBC" w:rsidP="00272315">
            <w:pPr>
              <w:jc w:val="both"/>
              <w:rPr>
                <w:lang w:val="ro-RO"/>
              </w:rPr>
            </w:pPr>
          </w:p>
        </w:tc>
      </w:tr>
      <w:tr w:rsidR="00B73BBC" w:rsidTr="00B73BBC">
        <w:tblPrEx>
          <w:tblBorders>
            <w:top w:val="double" w:sz="4" w:space="0" w:color="auto"/>
            <w:left w:val="double" w:sz="4" w:space="0" w:color="auto"/>
            <w:bottom w:val="double" w:sz="4" w:space="0" w:color="auto"/>
            <w:right w:val="double" w:sz="4" w:space="0" w:color="auto"/>
          </w:tblBorders>
        </w:tblPrEx>
        <w:trPr>
          <w:trHeight w:val="492"/>
        </w:trPr>
        <w:tc>
          <w:tcPr>
            <w:tcW w:w="7488" w:type="dxa"/>
            <w:tcBorders>
              <w:top w:val="double" w:sz="4" w:space="0" w:color="auto"/>
            </w:tcBorders>
            <w:shd w:val="pct15" w:color="000000" w:fill="FFFFFF"/>
            <w:vAlign w:val="center"/>
          </w:tcPr>
          <w:p w:rsidR="00B73BBC" w:rsidRDefault="00B73BBC" w:rsidP="00AF750B">
            <w:pPr>
              <w:pStyle w:val="Heading6"/>
              <w:ind w:left="855" w:hanging="855"/>
              <w:rPr>
                <w:sz w:val="24"/>
                <w:szCs w:val="24"/>
                <w:lang w:val="ro-RO" w:eastAsia="en-US"/>
              </w:rPr>
            </w:pPr>
            <w:r w:rsidRPr="007E367E">
              <w:rPr>
                <w:sz w:val="24"/>
                <w:szCs w:val="24"/>
                <w:lang w:val="ro-RO" w:eastAsia="en-US"/>
              </w:rPr>
              <w:t>VI. CERCETAREA ŞTIINŢIFICĂ</w:t>
            </w:r>
          </w:p>
        </w:tc>
        <w:tc>
          <w:tcPr>
            <w:tcW w:w="6829" w:type="dxa"/>
            <w:tcBorders>
              <w:top w:val="double" w:sz="4" w:space="0" w:color="auto"/>
            </w:tcBorders>
            <w:shd w:val="pct15" w:color="000000" w:fill="FFFFFF"/>
            <w:vAlign w:val="center"/>
          </w:tcPr>
          <w:p w:rsidR="00B73BBC" w:rsidRPr="001C3E09" w:rsidRDefault="00B73BBC" w:rsidP="00AF750B">
            <w:pPr>
              <w:pStyle w:val="Heading6"/>
              <w:ind w:left="855" w:hanging="855"/>
              <w:jc w:val="center"/>
              <w:rPr>
                <w:i/>
                <w:sz w:val="24"/>
                <w:szCs w:val="24"/>
                <w:lang w:val="ro-RO" w:eastAsia="en-US"/>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492"/>
        </w:trPr>
        <w:tc>
          <w:tcPr>
            <w:tcW w:w="7488" w:type="dxa"/>
            <w:vAlign w:val="center"/>
          </w:tcPr>
          <w:p w:rsidR="00B73BBC" w:rsidRPr="001031BB" w:rsidRDefault="00B73BBC" w:rsidP="00AF750B">
            <w:pPr>
              <w:rPr>
                <w:i/>
                <w:lang w:val="ro-RO"/>
              </w:rPr>
            </w:pPr>
            <w:r w:rsidRPr="00403D3D">
              <w:rPr>
                <w:i/>
                <w:lang w:val="ro-RO"/>
              </w:rPr>
              <w:t>1. Facultatea sau departamentul coordonator al programului de studii universitare de licenţă dispune de un plan de cercetare ştiinţifică care este integrat în planul de cercetare al instituţiei de învăţământ superior.</w:t>
            </w:r>
          </w:p>
        </w:tc>
        <w:tc>
          <w:tcPr>
            <w:tcW w:w="6829" w:type="dxa"/>
            <w:vAlign w:val="center"/>
          </w:tcPr>
          <w:p w:rsidR="00B73BBC" w:rsidRPr="00F03104" w:rsidRDefault="00B73BBC" w:rsidP="00272315">
            <w:pPr>
              <w:jc w:val="both"/>
              <w:rPr>
                <w:lang w:val="ro-RO"/>
              </w:rPr>
            </w:pPr>
          </w:p>
        </w:tc>
      </w:tr>
      <w:tr w:rsidR="00B73BBC" w:rsidRPr="00985E74" w:rsidTr="002A3FAC">
        <w:tblPrEx>
          <w:tblBorders>
            <w:top w:val="double" w:sz="4" w:space="0" w:color="auto"/>
            <w:left w:val="double" w:sz="4" w:space="0" w:color="auto"/>
            <w:bottom w:val="double" w:sz="4" w:space="0" w:color="auto"/>
            <w:right w:val="double" w:sz="4" w:space="0" w:color="auto"/>
          </w:tblBorders>
        </w:tblPrEx>
        <w:trPr>
          <w:trHeight w:val="492"/>
        </w:trPr>
        <w:tc>
          <w:tcPr>
            <w:tcW w:w="7488" w:type="dxa"/>
            <w:vAlign w:val="center"/>
          </w:tcPr>
          <w:p w:rsidR="00B73BBC" w:rsidRPr="007633BD" w:rsidRDefault="00B73BBC" w:rsidP="002A3FAC">
            <w:pPr>
              <w:pStyle w:val="Heading2"/>
              <w:rPr>
                <w:b w:val="0"/>
                <w:i/>
                <w:lang w:val="ro-RO" w:eastAsia="en-US"/>
              </w:rPr>
            </w:pPr>
            <w:r w:rsidRPr="007633BD">
              <w:rPr>
                <w:b w:val="0"/>
                <w:i/>
                <w:lang w:val="ro-RO" w:eastAsia="en-US"/>
              </w:rPr>
              <w:t>2. Temele de cercetare cuprinse în plan se înscriu în aria ştiinţifică a domeniului de licenţă în care se încadrează programul de studii supus evaluării.</w:t>
            </w:r>
          </w:p>
        </w:tc>
        <w:tc>
          <w:tcPr>
            <w:tcW w:w="6829" w:type="dxa"/>
            <w:vAlign w:val="center"/>
          </w:tcPr>
          <w:p w:rsidR="00B73BBC" w:rsidRPr="00F03104" w:rsidRDefault="00B73BBC" w:rsidP="002A3FAC">
            <w:pPr>
              <w:jc w:val="both"/>
              <w:rPr>
                <w:lang w:val="ro-RO"/>
              </w:rPr>
            </w:pPr>
          </w:p>
        </w:tc>
      </w:tr>
      <w:tr w:rsidR="00B73BBC" w:rsidRPr="00985E74" w:rsidTr="002A3FAC">
        <w:tblPrEx>
          <w:tblBorders>
            <w:top w:val="double" w:sz="4" w:space="0" w:color="auto"/>
            <w:left w:val="double" w:sz="4" w:space="0" w:color="auto"/>
            <w:bottom w:val="double" w:sz="4" w:space="0" w:color="auto"/>
            <w:right w:val="double" w:sz="4" w:space="0" w:color="auto"/>
          </w:tblBorders>
        </w:tblPrEx>
        <w:trPr>
          <w:trHeight w:val="492"/>
        </w:trPr>
        <w:tc>
          <w:tcPr>
            <w:tcW w:w="7488" w:type="dxa"/>
            <w:vAlign w:val="center"/>
          </w:tcPr>
          <w:p w:rsidR="00B73BBC" w:rsidRPr="007633BD" w:rsidRDefault="00B73BBC" w:rsidP="002A3FAC">
            <w:pPr>
              <w:pStyle w:val="Heading2"/>
              <w:rPr>
                <w:b w:val="0"/>
                <w:i/>
                <w:lang w:val="ro-RO" w:eastAsia="en-US"/>
              </w:rPr>
            </w:pPr>
            <w:r w:rsidRPr="007633BD">
              <w:rPr>
                <w:b w:val="0"/>
                <w:i/>
                <w:lang w:val="ro-RO" w:eastAsia="en-US"/>
              </w:rPr>
              <w:t>3. Personalul didactic propriu desfăşoară activităţi de cercetare ştiinţifică în domeniul disciplinelor cuprinse în norma/normele didactice pe care o/le acoperă.</w:t>
            </w:r>
          </w:p>
        </w:tc>
        <w:tc>
          <w:tcPr>
            <w:tcW w:w="6829" w:type="dxa"/>
            <w:vAlign w:val="center"/>
          </w:tcPr>
          <w:p w:rsidR="00B73BBC" w:rsidRPr="00C94EAC" w:rsidRDefault="00B73BBC" w:rsidP="002A3FAC">
            <w:pPr>
              <w:jc w:val="both"/>
              <w:rPr>
                <w:szCs w:val="22"/>
                <w:lang w:val="ro-RO"/>
              </w:rPr>
            </w:pPr>
          </w:p>
        </w:tc>
      </w:tr>
      <w:tr w:rsidR="00B73BBC" w:rsidRPr="00985E74" w:rsidTr="002A3FAC">
        <w:tblPrEx>
          <w:tblBorders>
            <w:top w:val="double" w:sz="4" w:space="0" w:color="auto"/>
            <w:left w:val="double" w:sz="4" w:space="0" w:color="auto"/>
            <w:bottom w:val="double" w:sz="4" w:space="0" w:color="auto"/>
            <w:right w:val="double" w:sz="4" w:space="0" w:color="auto"/>
          </w:tblBorders>
        </w:tblPrEx>
        <w:trPr>
          <w:trHeight w:val="492"/>
        </w:trPr>
        <w:tc>
          <w:tcPr>
            <w:tcW w:w="7488" w:type="dxa"/>
            <w:vAlign w:val="center"/>
          </w:tcPr>
          <w:p w:rsidR="00B73BBC" w:rsidRPr="007633BD" w:rsidRDefault="00B73BBC" w:rsidP="002A3FAC">
            <w:pPr>
              <w:pStyle w:val="Heading2"/>
              <w:rPr>
                <w:b w:val="0"/>
                <w:i/>
                <w:lang w:val="ro-RO" w:eastAsia="en-US"/>
              </w:rPr>
            </w:pPr>
            <w:r w:rsidRPr="007633BD">
              <w:rPr>
                <w:b w:val="0"/>
                <w:i/>
                <w:lang w:val="ro-RO" w:eastAsia="en-US"/>
              </w:rPr>
              <w:t>4. Personalul didactic şi de cercetare propriu desfăşoară activităţi de cercetare ştiinţifică valorificate prin publicaţii în reviste de specialitate sau edituri din ţară sau din străinătate, indexate în baze de date sau recunoscute de către comunitatea ştiinţifică din domeniu, comunicări ştiinţifice prezentate la sesiuni, simpozioane, seminarii etc. din ţară şi/sau străinătate, rapoarte de cercetare, de expertiză, de consultanţă etc., pe bază de contracte sau convenţii încheiate cu parteneri din ţară şi/sau străinătate, cu evaluare atestată de către comisii de specialitate etc.</w:t>
            </w:r>
          </w:p>
        </w:tc>
        <w:tc>
          <w:tcPr>
            <w:tcW w:w="6829" w:type="dxa"/>
            <w:vAlign w:val="center"/>
          </w:tcPr>
          <w:p w:rsidR="00B73BBC" w:rsidRPr="00F03104" w:rsidRDefault="00B73BBC" w:rsidP="002A3FAC">
            <w:pPr>
              <w:jc w:val="both"/>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492"/>
        </w:trPr>
        <w:tc>
          <w:tcPr>
            <w:tcW w:w="7488" w:type="dxa"/>
            <w:vAlign w:val="center"/>
          </w:tcPr>
          <w:p w:rsidR="00B73BBC" w:rsidRPr="007633BD" w:rsidRDefault="00B73BBC" w:rsidP="00B73BBC">
            <w:pPr>
              <w:pStyle w:val="Heading2"/>
              <w:keepNext w:val="0"/>
              <w:rPr>
                <w:b w:val="0"/>
                <w:i/>
                <w:lang w:val="ro-RO" w:eastAsia="en-US"/>
              </w:rPr>
            </w:pPr>
            <w:r w:rsidRPr="007633BD">
              <w:rPr>
                <w:b w:val="0"/>
                <w:i/>
                <w:lang w:val="ro-RO" w:eastAsia="en-US"/>
              </w:rPr>
              <w:t xml:space="preserve">5. Rezultatele cercetării ştiinţifice efectuate în cadrul laboratoarelor de cercetare proprii structurii de învăţământ supuse evaluării sunt </w:t>
            </w:r>
            <w:r w:rsidRPr="007633BD">
              <w:rPr>
                <w:b w:val="0"/>
                <w:i/>
                <w:lang w:val="ro-RO" w:eastAsia="en-US"/>
              </w:rPr>
              <w:lastRenderedPageBreak/>
              <w:t>valorificate prin lucrări ştiinţifice publicate, brevete etc.</w:t>
            </w:r>
          </w:p>
        </w:tc>
        <w:tc>
          <w:tcPr>
            <w:tcW w:w="6829" w:type="dxa"/>
            <w:vAlign w:val="center"/>
          </w:tcPr>
          <w:p w:rsidR="00B73BBC" w:rsidRDefault="00B73BBC" w:rsidP="00272315">
            <w:pPr>
              <w:jc w:val="both"/>
              <w:rPr>
                <w:i/>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492"/>
        </w:trPr>
        <w:tc>
          <w:tcPr>
            <w:tcW w:w="7488" w:type="dxa"/>
            <w:vAlign w:val="center"/>
          </w:tcPr>
          <w:p w:rsidR="00B73BBC" w:rsidRPr="007633BD" w:rsidRDefault="00B73BBC" w:rsidP="00AF750B">
            <w:pPr>
              <w:pStyle w:val="Heading2"/>
              <w:rPr>
                <w:b w:val="0"/>
                <w:i/>
                <w:lang w:val="ro-RO" w:eastAsia="en-US"/>
              </w:rPr>
            </w:pPr>
            <w:r w:rsidRPr="007633BD">
              <w:rPr>
                <w:b w:val="0"/>
                <w:i/>
                <w:lang w:val="ro-RO" w:eastAsia="en-US"/>
              </w:rPr>
              <w:lastRenderedPageBreak/>
              <w:t>6. Facultatea organizează periodic, cu cadrele didactice, cercetătorii şi absolvenţii, sesiuni ştiinţifice, simpozioane, conferinţe, mese rotunde, iar comunicările sunt publicate în buletine ştiinţifice cotate ISBN, ISSN sau în  volume  dedicate activităţii organizate.</w:t>
            </w:r>
          </w:p>
        </w:tc>
        <w:tc>
          <w:tcPr>
            <w:tcW w:w="6829" w:type="dxa"/>
            <w:vAlign w:val="center"/>
          </w:tcPr>
          <w:p w:rsidR="00B73BBC" w:rsidRPr="00F03104" w:rsidRDefault="00B73BBC" w:rsidP="00450F4A">
            <w:pPr>
              <w:spacing w:after="60"/>
              <w:jc w:val="both"/>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492"/>
        </w:trPr>
        <w:tc>
          <w:tcPr>
            <w:tcW w:w="7488" w:type="dxa"/>
            <w:vAlign w:val="center"/>
          </w:tcPr>
          <w:p w:rsidR="00B73BBC" w:rsidRPr="007633BD" w:rsidRDefault="00B73BBC" w:rsidP="00AF750B">
            <w:pPr>
              <w:pStyle w:val="Heading2"/>
              <w:rPr>
                <w:b w:val="0"/>
                <w:i/>
                <w:lang w:val="ro-RO" w:eastAsia="en-US"/>
              </w:rPr>
            </w:pPr>
            <w:r w:rsidRPr="007633BD">
              <w:rPr>
                <w:b w:val="0"/>
                <w:i/>
                <w:lang w:val="ro-RO" w:eastAsia="en-US"/>
              </w:rPr>
              <w:t>7. Universitatea/</w:t>
            </w:r>
            <w:r w:rsidRPr="007633BD">
              <w:rPr>
                <w:b w:val="0"/>
                <w:i/>
                <w:color w:val="auto"/>
                <w:lang w:val="ro-RO" w:eastAsia="en-US"/>
              </w:rPr>
              <w:t>Facultatea/Departamentul</w:t>
            </w:r>
            <w:r w:rsidRPr="007633BD">
              <w:rPr>
                <w:b w:val="0"/>
                <w:i/>
                <w:lang w:val="ro-RO" w:eastAsia="en-US"/>
              </w:rPr>
              <w:t xml:space="preserve"> dispune de un centru de cercetare ştiinţifică în domeniu cu rezultate recunoscute de comunitatea ştiinţifică.</w:t>
            </w:r>
          </w:p>
        </w:tc>
        <w:tc>
          <w:tcPr>
            <w:tcW w:w="6829" w:type="dxa"/>
            <w:vAlign w:val="center"/>
          </w:tcPr>
          <w:p w:rsidR="00B73BBC" w:rsidRPr="00C94EAC" w:rsidRDefault="00B73BBC" w:rsidP="008B0C21">
            <w:pPr>
              <w:jc w:val="both"/>
              <w:rPr>
                <w:lang w:val="ro-RO"/>
              </w:rPr>
            </w:pPr>
          </w:p>
        </w:tc>
      </w:tr>
      <w:tr w:rsidR="00B73BBC" w:rsidRPr="005C29D6" w:rsidTr="00B73BBC">
        <w:tblPrEx>
          <w:tblBorders>
            <w:top w:val="double" w:sz="4" w:space="0" w:color="auto"/>
            <w:left w:val="double" w:sz="4" w:space="0" w:color="auto"/>
            <w:bottom w:val="double" w:sz="4" w:space="0" w:color="auto"/>
            <w:right w:val="double" w:sz="4" w:space="0" w:color="auto"/>
          </w:tblBorders>
        </w:tblPrEx>
        <w:trPr>
          <w:trHeight w:val="525"/>
        </w:trPr>
        <w:tc>
          <w:tcPr>
            <w:tcW w:w="7488" w:type="dxa"/>
            <w:vAlign w:val="center"/>
          </w:tcPr>
          <w:p w:rsidR="00B73BBC" w:rsidRPr="00403D3D" w:rsidRDefault="00B73BBC" w:rsidP="00AF750B">
            <w:pPr>
              <w:rPr>
                <w:i/>
                <w:lang w:val="ro-RO"/>
              </w:rPr>
            </w:pPr>
            <w:r w:rsidRPr="00885BCC">
              <w:rPr>
                <w:i/>
                <w:lang w:val="fr-FR"/>
              </w:rPr>
              <w:t xml:space="preserve">8. </w:t>
            </w:r>
            <w:proofErr w:type="spellStart"/>
            <w:r w:rsidRPr="00885BCC">
              <w:rPr>
                <w:i/>
                <w:lang w:val="fr-FR"/>
              </w:rPr>
              <w:t>Universitatea</w:t>
            </w:r>
            <w:proofErr w:type="spellEnd"/>
            <w:r w:rsidRPr="00885BCC">
              <w:rPr>
                <w:i/>
                <w:lang w:val="fr-FR"/>
              </w:rPr>
              <w:t xml:space="preserve"> </w:t>
            </w:r>
            <w:proofErr w:type="spellStart"/>
            <w:r w:rsidRPr="00885BCC">
              <w:rPr>
                <w:i/>
                <w:lang w:val="fr-FR"/>
              </w:rPr>
              <w:t>dispune</w:t>
            </w:r>
            <w:proofErr w:type="spellEnd"/>
            <w:r w:rsidRPr="00885BCC">
              <w:rPr>
                <w:i/>
                <w:lang w:val="fr-FR"/>
              </w:rPr>
              <w:t xml:space="preserve"> </w:t>
            </w:r>
            <w:proofErr w:type="gramStart"/>
            <w:r w:rsidRPr="00885BCC">
              <w:rPr>
                <w:i/>
                <w:lang w:val="fr-FR"/>
              </w:rPr>
              <w:t xml:space="preserve">de </w:t>
            </w:r>
            <w:proofErr w:type="spellStart"/>
            <w:r w:rsidRPr="00885BCC">
              <w:rPr>
                <w:i/>
                <w:lang w:val="fr-FR"/>
              </w:rPr>
              <w:t>editură</w:t>
            </w:r>
            <w:proofErr w:type="spellEnd"/>
            <w:proofErr w:type="gramEnd"/>
            <w:r w:rsidRPr="00885BCC">
              <w:rPr>
                <w:i/>
                <w:lang w:val="fr-FR"/>
              </w:rPr>
              <w:t xml:space="preserve"> </w:t>
            </w:r>
            <w:proofErr w:type="spellStart"/>
            <w:r w:rsidRPr="00885BCC">
              <w:rPr>
                <w:i/>
                <w:lang w:val="fr-FR"/>
              </w:rPr>
              <w:t>proprie</w:t>
            </w:r>
            <w:proofErr w:type="spellEnd"/>
            <w:r w:rsidRPr="00885BCC">
              <w:rPr>
                <w:i/>
                <w:lang w:val="fr-FR"/>
              </w:rPr>
              <w:t xml:space="preserve"> </w:t>
            </w:r>
            <w:proofErr w:type="spellStart"/>
            <w:r w:rsidRPr="00885BCC">
              <w:rPr>
                <w:i/>
                <w:lang w:val="fr-FR"/>
              </w:rPr>
              <w:t>pentru</w:t>
            </w:r>
            <w:proofErr w:type="spellEnd"/>
            <w:r w:rsidRPr="00885BCC">
              <w:rPr>
                <w:i/>
                <w:lang w:val="fr-FR"/>
              </w:rPr>
              <w:t xml:space="preserve"> </w:t>
            </w:r>
            <w:proofErr w:type="spellStart"/>
            <w:r w:rsidRPr="00885BCC">
              <w:rPr>
                <w:i/>
                <w:lang w:val="fr-FR"/>
              </w:rPr>
              <w:t>publicaţii</w:t>
            </w:r>
            <w:proofErr w:type="spellEnd"/>
            <w:r w:rsidRPr="00885BCC">
              <w:rPr>
                <w:i/>
                <w:lang w:val="fr-FR"/>
              </w:rPr>
              <w:t xml:space="preserve"> </w:t>
            </w:r>
            <w:proofErr w:type="spellStart"/>
            <w:r w:rsidRPr="00885BCC">
              <w:rPr>
                <w:i/>
                <w:lang w:val="fr-FR"/>
              </w:rPr>
              <w:t>cu</w:t>
            </w:r>
            <w:proofErr w:type="spellEnd"/>
            <w:r w:rsidRPr="00885BCC">
              <w:rPr>
                <w:i/>
                <w:lang w:val="fr-FR"/>
              </w:rPr>
              <w:t xml:space="preserve"> ISSN </w:t>
            </w:r>
            <w:proofErr w:type="spellStart"/>
            <w:r w:rsidRPr="00885BCC">
              <w:rPr>
                <w:i/>
                <w:lang w:val="fr-FR"/>
              </w:rPr>
              <w:t>şi</w:t>
            </w:r>
            <w:proofErr w:type="spellEnd"/>
            <w:r w:rsidRPr="00885BCC">
              <w:rPr>
                <w:i/>
                <w:lang w:val="fr-FR"/>
              </w:rPr>
              <w:t xml:space="preserve"> ISBN.</w:t>
            </w:r>
          </w:p>
        </w:tc>
        <w:tc>
          <w:tcPr>
            <w:tcW w:w="6829" w:type="dxa"/>
            <w:vAlign w:val="center"/>
          </w:tcPr>
          <w:p w:rsidR="00B73BBC" w:rsidRPr="00C94EAC" w:rsidRDefault="00B73BBC" w:rsidP="008B0C21">
            <w:pPr>
              <w:jc w:val="both"/>
              <w:rPr>
                <w:lang w:val="ro-RO"/>
              </w:rPr>
            </w:pPr>
          </w:p>
        </w:tc>
      </w:tr>
      <w:tr w:rsidR="00B73BBC" w:rsidRPr="005C29D6" w:rsidTr="00B73BBC">
        <w:tblPrEx>
          <w:tblBorders>
            <w:top w:val="double" w:sz="4" w:space="0" w:color="auto"/>
            <w:left w:val="double" w:sz="4" w:space="0" w:color="auto"/>
            <w:bottom w:val="double" w:sz="4" w:space="0" w:color="auto"/>
            <w:right w:val="double" w:sz="4" w:space="0" w:color="auto"/>
          </w:tblBorders>
        </w:tblPrEx>
        <w:trPr>
          <w:trHeight w:val="525"/>
        </w:trPr>
        <w:tc>
          <w:tcPr>
            <w:tcW w:w="7488" w:type="dxa"/>
          </w:tcPr>
          <w:p w:rsidR="00B73BBC" w:rsidRPr="007633BD" w:rsidRDefault="00B73BBC" w:rsidP="00AF750B">
            <w:pPr>
              <w:pStyle w:val="Heading2"/>
              <w:rPr>
                <w:b w:val="0"/>
                <w:i/>
                <w:color w:val="auto"/>
                <w:lang w:val="ro-RO" w:eastAsia="en-US"/>
              </w:rPr>
            </w:pPr>
            <w:r w:rsidRPr="007633BD">
              <w:rPr>
                <w:b w:val="0"/>
                <w:i/>
                <w:color w:val="auto"/>
                <w:lang w:val="ro-RO" w:eastAsia="en-US"/>
              </w:rPr>
              <w:t>9. Personalul didactic şi de cercetare este implicat în granturi de cercetare naţionale şi internaţionale.</w:t>
            </w:r>
          </w:p>
          <w:p w:rsidR="00B73BBC" w:rsidRPr="00403D3D" w:rsidRDefault="00B73BBC" w:rsidP="00AF750B">
            <w:pPr>
              <w:rPr>
                <w:sz w:val="16"/>
                <w:szCs w:val="16"/>
                <w:lang w:val="ro-RO"/>
              </w:rPr>
            </w:pPr>
          </w:p>
        </w:tc>
        <w:tc>
          <w:tcPr>
            <w:tcW w:w="6829" w:type="dxa"/>
            <w:vAlign w:val="center"/>
          </w:tcPr>
          <w:p w:rsidR="00B73BBC" w:rsidRPr="00C94EAC" w:rsidRDefault="00B73BBC" w:rsidP="008B0C21">
            <w:pPr>
              <w:jc w:val="both"/>
              <w:rPr>
                <w:lang w:val="ro-RO"/>
              </w:rPr>
            </w:pPr>
          </w:p>
        </w:tc>
      </w:tr>
      <w:tr w:rsidR="00B73BBC" w:rsidRPr="005C29D6" w:rsidTr="00B73BBC">
        <w:tblPrEx>
          <w:tblBorders>
            <w:top w:val="double" w:sz="4" w:space="0" w:color="auto"/>
            <w:left w:val="double" w:sz="4" w:space="0" w:color="auto"/>
            <w:bottom w:val="double" w:sz="4" w:space="0" w:color="auto"/>
            <w:right w:val="double" w:sz="4" w:space="0" w:color="auto"/>
          </w:tblBorders>
        </w:tblPrEx>
        <w:trPr>
          <w:trHeight w:val="525"/>
        </w:trPr>
        <w:tc>
          <w:tcPr>
            <w:tcW w:w="7488" w:type="dxa"/>
          </w:tcPr>
          <w:p w:rsidR="00B73BBC" w:rsidRPr="007633BD" w:rsidRDefault="00B73BBC" w:rsidP="00AF750B">
            <w:pPr>
              <w:pStyle w:val="Heading2"/>
              <w:rPr>
                <w:b w:val="0"/>
                <w:bCs w:val="0"/>
                <w:i/>
                <w:color w:val="auto"/>
                <w:lang w:val="ro-RO" w:eastAsia="en-US"/>
              </w:rPr>
            </w:pPr>
            <w:r w:rsidRPr="007633BD">
              <w:rPr>
                <w:b w:val="0"/>
                <w:bCs w:val="0"/>
                <w:i/>
                <w:color w:val="auto"/>
                <w:lang w:val="ro-RO" w:eastAsia="en-US"/>
              </w:rPr>
              <w:t>10. Fiecare cadru didactic şi cercetător are anual cel puţin o publicaţie sau o realizare didactică  ori ştiinţifică în domeniul disciplinelor predate.</w:t>
            </w:r>
          </w:p>
        </w:tc>
        <w:tc>
          <w:tcPr>
            <w:tcW w:w="6829" w:type="dxa"/>
            <w:vAlign w:val="center"/>
          </w:tcPr>
          <w:p w:rsidR="00B73BBC" w:rsidRPr="00F03104" w:rsidRDefault="00B73BBC" w:rsidP="00E258AC">
            <w:pPr>
              <w:ind w:left="34"/>
              <w:jc w:val="both"/>
              <w:rPr>
                <w:lang w:val="ro-RO"/>
              </w:rPr>
            </w:pPr>
          </w:p>
        </w:tc>
      </w:tr>
      <w:tr w:rsidR="00B73BBC" w:rsidRPr="00985E74" w:rsidTr="00B73BBC">
        <w:tblPrEx>
          <w:tblBorders>
            <w:top w:val="double" w:sz="4" w:space="0" w:color="auto"/>
            <w:left w:val="double" w:sz="4" w:space="0" w:color="auto"/>
            <w:bottom w:val="double" w:sz="4" w:space="0" w:color="auto"/>
            <w:right w:val="double" w:sz="4" w:space="0" w:color="auto"/>
          </w:tblBorders>
        </w:tblPrEx>
        <w:trPr>
          <w:trHeight w:val="525"/>
        </w:trPr>
        <w:tc>
          <w:tcPr>
            <w:tcW w:w="7488" w:type="dxa"/>
          </w:tcPr>
          <w:p w:rsidR="00B73BBC" w:rsidRPr="007633BD" w:rsidRDefault="00B73BBC" w:rsidP="00AF750B">
            <w:pPr>
              <w:pStyle w:val="Heading2"/>
              <w:rPr>
                <w:b w:val="0"/>
                <w:i/>
                <w:lang w:val="ro-RO" w:eastAsia="en-US"/>
              </w:rPr>
            </w:pPr>
            <w:r w:rsidRPr="007633BD">
              <w:rPr>
                <w:b w:val="0"/>
                <w:i/>
                <w:lang w:val="ro-RO" w:eastAsia="en-US"/>
              </w:rPr>
              <w:t>11. Dotarea laboratoarelor corespunde exigenţelor temelor abordate. Echipamentele existente permit realizarea unor cercetări de anvergură pe plan naţional şi internaţional.</w:t>
            </w:r>
          </w:p>
        </w:tc>
        <w:tc>
          <w:tcPr>
            <w:tcW w:w="6829" w:type="dxa"/>
            <w:vAlign w:val="center"/>
          </w:tcPr>
          <w:p w:rsidR="00B73BBC" w:rsidRPr="00F03104" w:rsidRDefault="00B73BBC" w:rsidP="008B0C21">
            <w:pPr>
              <w:jc w:val="both"/>
              <w:rPr>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shd w:val="pct15" w:color="000000" w:fill="FFFFFF"/>
            <w:vAlign w:val="center"/>
          </w:tcPr>
          <w:p w:rsidR="00B73BBC" w:rsidRDefault="00B73BBC" w:rsidP="00AF750B">
            <w:pPr>
              <w:pStyle w:val="Heading6"/>
              <w:ind w:left="855" w:hanging="855"/>
              <w:rPr>
                <w:sz w:val="24"/>
                <w:szCs w:val="24"/>
                <w:lang w:val="ro-RO" w:eastAsia="en-US"/>
              </w:rPr>
            </w:pPr>
            <w:r w:rsidRPr="0042137D">
              <w:rPr>
                <w:sz w:val="24"/>
                <w:szCs w:val="24"/>
                <w:lang w:val="ro-RO" w:eastAsia="en-US"/>
              </w:rPr>
              <w:t>VII. BAZA MATERIALĂ</w:t>
            </w:r>
          </w:p>
        </w:tc>
        <w:tc>
          <w:tcPr>
            <w:tcW w:w="6829" w:type="dxa"/>
            <w:tcBorders>
              <w:right w:val="single" w:sz="4" w:space="0" w:color="auto"/>
            </w:tcBorders>
            <w:shd w:val="pct15" w:color="000000" w:fill="FFFFFF"/>
            <w:vAlign w:val="center"/>
          </w:tcPr>
          <w:p w:rsidR="00B73BBC" w:rsidRPr="001C3E09" w:rsidRDefault="00B73BBC" w:rsidP="00AF750B">
            <w:pPr>
              <w:pStyle w:val="Heading6"/>
              <w:ind w:left="855" w:hanging="855"/>
              <w:jc w:val="center"/>
              <w:rPr>
                <w:i/>
                <w:sz w:val="24"/>
                <w:szCs w:val="24"/>
                <w:lang w:val="ro-RO" w:eastAsia="en-US"/>
              </w:rPr>
            </w:pPr>
          </w:p>
        </w:tc>
      </w:tr>
      <w:tr w:rsidR="00B73BBC" w:rsidRPr="00C55EFA"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902"/>
          <w:tblHeader/>
        </w:trPr>
        <w:tc>
          <w:tcPr>
            <w:tcW w:w="7488" w:type="dxa"/>
            <w:tcBorders>
              <w:left w:val="single" w:sz="4" w:space="0" w:color="auto"/>
            </w:tcBorders>
            <w:vAlign w:val="center"/>
          </w:tcPr>
          <w:p w:rsidR="00B73BBC" w:rsidRPr="007633BD" w:rsidRDefault="00B73BBC" w:rsidP="00AF750B">
            <w:pPr>
              <w:pStyle w:val="Heading2"/>
              <w:rPr>
                <w:b w:val="0"/>
                <w:i/>
                <w:lang w:val="ro-RO" w:eastAsia="en-US"/>
              </w:rPr>
            </w:pPr>
            <w:r w:rsidRPr="007633BD">
              <w:rPr>
                <w:b w:val="0"/>
                <w:i/>
                <w:lang w:val="ro-RO" w:eastAsia="en-US"/>
              </w:rPr>
              <w:t>1. Instituţia de învăţământ superior face dovada cu acte corespunzatoare (acte de proprietate, contracte de închiriere, inventare, facturi etc.) că pentru programul de studii supus evaluării dispune de spaţii adecvate procesului de învăţământ în proprietate sau prin închiriere.</w:t>
            </w:r>
          </w:p>
        </w:tc>
        <w:tc>
          <w:tcPr>
            <w:tcW w:w="6829" w:type="dxa"/>
            <w:tcBorders>
              <w:right w:val="single" w:sz="4" w:space="0" w:color="auto"/>
            </w:tcBorders>
            <w:vAlign w:val="center"/>
          </w:tcPr>
          <w:p w:rsidR="00B73BBC" w:rsidRPr="00F03104" w:rsidRDefault="00B73BBC" w:rsidP="008B0C21">
            <w:pPr>
              <w:jc w:val="both"/>
              <w:rPr>
                <w:lang w:val="ro-RO"/>
              </w:rPr>
            </w:pPr>
          </w:p>
        </w:tc>
      </w:tr>
      <w:tr w:rsidR="00B73BBC" w:rsidRPr="006578BA"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25"/>
          <w:tblHeader/>
        </w:trPr>
        <w:tc>
          <w:tcPr>
            <w:tcW w:w="7488" w:type="dxa"/>
            <w:tcBorders>
              <w:left w:val="single" w:sz="4" w:space="0" w:color="auto"/>
            </w:tcBorders>
            <w:vAlign w:val="center"/>
          </w:tcPr>
          <w:p w:rsidR="00B73BBC" w:rsidRPr="0042137D" w:rsidRDefault="00B73BBC" w:rsidP="00AF750B">
            <w:pPr>
              <w:jc w:val="both"/>
              <w:rPr>
                <w:i/>
                <w:lang w:val="ro-RO"/>
              </w:rPr>
            </w:pPr>
            <w:r w:rsidRPr="0042137D">
              <w:rPr>
                <w:i/>
                <w:lang w:val="ro-RO"/>
              </w:rPr>
              <w:t>2. Instituţia de învăţământ superior face dovada că dispune de laboratoare proprii sau închiriate, cu dotarea corespunzătoare pentru toate disciplinele cu caracter obligatoriu din planul de învăţământ care au prevăzute activităţi de acest gen.</w:t>
            </w:r>
          </w:p>
        </w:tc>
        <w:tc>
          <w:tcPr>
            <w:tcW w:w="6829" w:type="dxa"/>
            <w:tcBorders>
              <w:right w:val="single" w:sz="4" w:space="0" w:color="auto"/>
            </w:tcBorders>
            <w:vAlign w:val="center"/>
          </w:tcPr>
          <w:p w:rsidR="00B73BBC" w:rsidRPr="00F03104" w:rsidRDefault="00B73BBC" w:rsidP="00E258AC">
            <w:pPr>
              <w:jc w:val="both"/>
              <w:rPr>
                <w:lang w:val="ro-RO"/>
              </w:rPr>
            </w:pPr>
          </w:p>
        </w:tc>
      </w:tr>
      <w:tr w:rsidR="00B73BBC" w:rsidRPr="0042137D"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79"/>
          <w:tblHeader/>
        </w:trPr>
        <w:tc>
          <w:tcPr>
            <w:tcW w:w="7488" w:type="dxa"/>
            <w:tcBorders>
              <w:left w:val="single" w:sz="4" w:space="0" w:color="auto"/>
            </w:tcBorders>
            <w:vAlign w:val="center"/>
          </w:tcPr>
          <w:p w:rsidR="00B73BBC" w:rsidRPr="0042137D" w:rsidRDefault="00B73BBC" w:rsidP="00AF750B">
            <w:pPr>
              <w:jc w:val="both"/>
              <w:rPr>
                <w:i/>
                <w:lang w:val="ro-RO"/>
              </w:rPr>
            </w:pPr>
            <w:r w:rsidRPr="0042137D">
              <w:rPr>
                <w:i/>
                <w:lang w:val="ro-RO"/>
              </w:rPr>
              <w:t>3. Instituţia de învăţământ superior face dovada că dispune</w:t>
            </w:r>
            <w:r w:rsidRPr="00684A62">
              <w:rPr>
                <w:bCs/>
                <w:i/>
                <w:lang w:val="ro-RO"/>
              </w:rPr>
              <w:t xml:space="preserve"> de</w:t>
            </w:r>
            <w:r w:rsidRPr="0042137D">
              <w:rPr>
                <w:i/>
                <w:lang w:val="ro-RO"/>
              </w:rPr>
              <w:t xml:space="preserve"> soft-uri corespunzătoare disciplinelor de studiu din planul de învăţământ şi că posedă licenţă de utilizare a acestora.</w:t>
            </w:r>
          </w:p>
        </w:tc>
        <w:tc>
          <w:tcPr>
            <w:tcW w:w="6829" w:type="dxa"/>
            <w:tcBorders>
              <w:right w:val="single" w:sz="4" w:space="0" w:color="auto"/>
            </w:tcBorders>
            <w:vAlign w:val="center"/>
          </w:tcPr>
          <w:p w:rsidR="00B73BBC" w:rsidRPr="00F03104" w:rsidRDefault="00B73BBC" w:rsidP="008B0C21">
            <w:pPr>
              <w:jc w:val="both"/>
              <w:rPr>
                <w:lang w:val="ro-RO"/>
              </w:rPr>
            </w:pPr>
          </w:p>
        </w:tc>
      </w:tr>
      <w:tr w:rsidR="00B73BBC" w:rsidRPr="00C55EFA"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918"/>
          <w:tblHeader/>
        </w:trPr>
        <w:tc>
          <w:tcPr>
            <w:tcW w:w="7488" w:type="dxa"/>
            <w:tcBorders>
              <w:left w:val="single" w:sz="4" w:space="0" w:color="auto"/>
            </w:tcBorders>
            <w:vAlign w:val="center"/>
          </w:tcPr>
          <w:p w:rsidR="00B73BBC" w:rsidRPr="0042137D" w:rsidRDefault="00B73BBC" w:rsidP="00AF750B">
            <w:pPr>
              <w:jc w:val="both"/>
              <w:rPr>
                <w:i/>
                <w:lang w:val="ro-RO"/>
              </w:rPr>
            </w:pPr>
            <w:r w:rsidRPr="0042137D">
              <w:rPr>
                <w:i/>
                <w:lang w:val="ro-RO"/>
              </w:rPr>
              <w:lastRenderedPageBreak/>
              <w:t>4. Instituţia de învăţământ superior face dovada că dispune de bibliotecă dotată cu sală de lectură şi fond de carte propriu, corespunzător disciplinelor prevăzute în planurile de învăţământ pe cicluri de studii universitare (licenţă şi masterat).</w:t>
            </w:r>
          </w:p>
        </w:tc>
        <w:tc>
          <w:tcPr>
            <w:tcW w:w="6829" w:type="dxa"/>
            <w:tcBorders>
              <w:right w:val="single" w:sz="4" w:space="0" w:color="auto"/>
            </w:tcBorders>
            <w:vAlign w:val="center"/>
          </w:tcPr>
          <w:p w:rsidR="00B73BBC" w:rsidRPr="00C94EAC" w:rsidRDefault="00B73BBC" w:rsidP="00550DEB">
            <w:pPr>
              <w:jc w:val="both"/>
              <w:rPr>
                <w:lang w:val="ro-RO"/>
              </w:rPr>
            </w:pPr>
          </w:p>
        </w:tc>
      </w:tr>
      <w:tr w:rsidR="00B73BBC" w:rsidRPr="0042137D"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1443"/>
          <w:tblHeader/>
        </w:trPr>
        <w:tc>
          <w:tcPr>
            <w:tcW w:w="7488" w:type="dxa"/>
            <w:tcBorders>
              <w:left w:val="single" w:sz="4" w:space="0" w:color="auto"/>
            </w:tcBorders>
            <w:vAlign w:val="center"/>
          </w:tcPr>
          <w:p w:rsidR="00B73BBC" w:rsidRPr="0042137D" w:rsidRDefault="00B73BBC" w:rsidP="00AF750B">
            <w:pPr>
              <w:jc w:val="both"/>
              <w:rPr>
                <w:i/>
                <w:lang w:val="ro-RO"/>
              </w:rPr>
            </w:pPr>
            <w:r w:rsidRPr="0042137D">
              <w:rPr>
                <w:i/>
                <w:lang w:val="ro-RO"/>
              </w:rPr>
              <w:t>5.</w:t>
            </w:r>
            <w:r>
              <w:rPr>
                <w:i/>
                <w:lang w:val="ro-RO"/>
              </w:rPr>
              <w:t xml:space="preserve"> </w:t>
            </w:r>
            <w:r w:rsidRPr="0042137D">
              <w:rPr>
                <w:i/>
                <w:lang w:val="ro-RO"/>
              </w:rPr>
              <w:t>Capacitatea spaţiilor de învăţământ pentru programul de studii supus evaluării este de:  minim 1 mp./loc, în sălile de curs;  minim 1,4 mp./loc, în sălile de seminar;  minim 1,5 mp./loc, în sălile de lectură din biblioteci; minim 2,5 mp./loc în laboratoarele de informatică şi în cele ale disciplinelor de specialitate care utilizează calculatorul; minim 4 mp./loc, în laboratoarele disciplinelor cu caracter tehnic, experimental, de proiectare etc.</w:t>
            </w:r>
          </w:p>
        </w:tc>
        <w:tc>
          <w:tcPr>
            <w:tcW w:w="6829" w:type="dxa"/>
            <w:tcBorders>
              <w:right w:val="single" w:sz="4" w:space="0" w:color="auto"/>
            </w:tcBorders>
            <w:vAlign w:val="center"/>
          </w:tcPr>
          <w:p w:rsidR="00B73BBC" w:rsidRPr="00F03104" w:rsidRDefault="00B73BBC" w:rsidP="008B0C21">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981"/>
          <w:tblHeader/>
        </w:trPr>
        <w:tc>
          <w:tcPr>
            <w:tcW w:w="7488" w:type="dxa"/>
            <w:tcBorders>
              <w:left w:val="single" w:sz="4" w:space="0" w:color="auto"/>
            </w:tcBorders>
            <w:vAlign w:val="center"/>
          </w:tcPr>
          <w:p w:rsidR="00B73BBC" w:rsidRPr="00403D3D" w:rsidRDefault="00B73BBC" w:rsidP="00AF750B">
            <w:pPr>
              <w:jc w:val="both"/>
              <w:rPr>
                <w:i/>
                <w:lang w:val="ro-RO"/>
              </w:rPr>
            </w:pPr>
            <w:r w:rsidRPr="00403D3D">
              <w:rPr>
                <w:i/>
                <w:lang w:val="ro-RO"/>
              </w:rPr>
              <w:t>6. Numărul de locuri în sălile de curs, seminar şi laborator este corelat cu mărimea formaţiilor de studiu (serii, grupe, subgrupe etc.), conform normativelor Ministerului Educaţiei Naţionale.</w:t>
            </w:r>
          </w:p>
        </w:tc>
        <w:tc>
          <w:tcPr>
            <w:tcW w:w="6829" w:type="dxa"/>
            <w:tcBorders>
              <w:right w:val="single" w:sz="4" w:space="0" w:color="auto"/>
            </w:tcBorders>
            <w:vAlign w:val="center"/>
          </w:tcPr>
          <w:p w:rsidR="00B73BBC" w:rsidRPr="00C94EAC" w:rsidRDefault="00B73BBC" w:rsidP="008B0C21">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981"/>
          <w:tblHeader/>
        </w:trPr>
        <w:tc>
          <w:tcPr>
            <w:tcW w:w="7488" w:type="dxa"/>
            <w:tcBorders>
              <w:left w:val="single" w:sz="4" w:space="0" w:color="auto"/>
            </w:tcBorders>
            <w:vAlign w:val="center"/>
          </w:tcPr>
          <w:p w:rsidR="00B73BBC" w:rsidRPr="00403D3D" w:rsidRDefault="00B73BBC" w:rsidP="00AF750B">
            <w:pPr>
              <w:jc w:val="both"/>
              <w:rPr>
                <w:i/>
                <w:lang w:val="ro-RO"/>
              </w:rPr>
            </w:pPr>
            <w:r w:rsidRPr="00403D3D">
              <w:rPr>
                <w:i/>
                <w:lang w:val="ro-RO"/>
              </w:rPr>
              <w:t>7. Se asigură desfăşurarea lucrărilor aplicative la disciplinele de specialitate din planurile de învăţământ în laboratoare dotate cu tehnică de calcul, astfel încât la nivelul unei formaţii de studiu să  existe câte un calculator la cel mult 2 studenţi.</w:t>
            </w:r>
          </w:p>
        </w:tc>
        <w:tc>
          <w:tcPr>
            <w:tcW w:w="6829" w:type="dxa"/>
            <w:tcBorders>
              <w:right w:val="single" w:sz="4" w:space="0" w:color="auto"/>
            </w:tcBorders>
            <w:vAlign w:val="center"/>
          </w:tcPr>
          <w:p w:rsidR="00B73BBC" w:rsidRPr="00C94EAC" w:rsidRDefault="00B73BBC" w:rsidP="00455841">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981"/>
          <w:tblHeader/>
        </w:trPr>
        <w:tc>
          <w:tcPr>
            <w:tcW w:w="7488" w:type="dxa"/>
            <w:tcBorders>
              <w:left w:val="single" w:sz="4" w:space="0" w:color="auto"/>
            </w:tcBorders>
            <w:vAlign w:val="center"/>
          </w:tcPr>
          <w:p w:rsidR="00B73BBC" w:rsidRPr="00403D3D" w:rsidRDefault="00B73BBC" w:rsidP="00AF750B">
            <w:pPr>
              <w:jc w:val="both"/>
              <w:rPr>
                <w:i/>
                <w:lang w:val="ro-RO"/>
              </w:rPr>
            </w:pPr>
            <w:r w:rsidRPr="00403D3D">
              <w:rPr>
                <w:i/>
                <w:lang w:val="ro-RO"/>
              </w:rPr>
              <w:t>8.Bibliotecile instituţiei de învăţământ fie asigură un număr de locuri în sălile de lectură corespunzător cu cel puţin 10% din numărul total al studenţilor, fie accesul electronical studentilor  la baze de date, in campusul universitatii.</w:t>
            </w:r>
          </w:p>
        </w:tc>
        <w:tc>
          <w:tcPr>
            <w:tcW w:w="6829" w:type="dxa"/>
            <w:tcBorders>
              <w:right w:val="single" w:sz="4" w:space="0" w:color="auto"/>
            </w:tcBorders>
            <w:vAlign w:val="center"/>
          </w:tcPr>
          <w:p w:rsidR="00B73BBC" w:rsidRPr="00F03104" w:rsidRDefault="00B73BBC" w:rsidP="00455841">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1040"/>
          <w:tblHeader/>
        </w:trPr>
        <w:tc>
          <w:tcPr>
            <w:tcW w:w="7488" w:type="dxa"/>
            <w:tcBorders>
              <w:left w:val="single" w:sz="4" w:space="0" w:color="auto"/>
            </w:tcBorders>
            <w:vAlign w:val="center"/>
          </w:tcPr>
          <w:p w:rsidR="00B73BBC" w:rsidRPr="007633BD" w:rsidRDefault="00B73BBC" w:rsidP="00963FEF">
            <w:pPr>
              <w:pStyle w:val="Heading2"/>
              <w:keepNext w:val="0"/>
              <w:rPr>
                <w:b w:val="0"/>
                <w:i/>
                <w:strike/>
                <w:lang w:val="ro-RO" w:eastAsia="en-US"/>
              </w:rPr>
            </w:pPr>
            <w:r w:rsidRPr="007633BD">
              <w:rPr>
                <w:b w:val="0"/>
                <w:i/>
                <w:lang w:val="ro-RO" w:eastAsia="en-US"/>
              </w:rPr>
              <w:t>9. Fondul de carte propriu din literatura de specialitate română şi străină există într-un număr de exemplare suficient pentru a acoperi integral disciplinele din planurile de învăţământ şi din care cel puţin 50% reprezintă titluri de carte sau cursuri de specialitate pentru domeniul supus evaluării, apărute în ultimii 10 ani în edituri recunoscute, sau este oferit acces electronic la baze de date.</w:t>
            </w:r>
          </w:p>
        </w:tc>
        <w:tc>
          <w:tcPr>
            <w:tcW w:w="6829" w:type="dxa"/>
            <w:tcBorders>
              <w:right w:val="single" w:sz="4" w:space="0" w:color="auto"/>
            </w:tcBorders>
            <w:vAlign w:val="center"/>
          </w:tcPr>
          <w:p w:rsidR="00B73BBC" w:rsidRPr="00F03104" w:rsidRDefault="00B73BBC" w:rsidP="00455841">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1040"/>
          <w:tblHeader/>
        </w:trPr>
        <w:tc>
          <w:tcPr>
            <w:tcW w:w="7488" w:type="dxa"/>
            <w:tcBorders>
              <w:left w:val="single" w:sz="4" w:space="0" w:color="auto"/>
            </w:tcBorders>
            <w:vAlign w:val="center"/>
          </w:tcPr>
          <w:p w:rsidR="00B73BBC" w:rsidRPr="007633BD" w:rsidRDefault="00B73BBC" w:rsidP="00963FEF">
            <w:pPr>
              <w:pStyle w:val="Heading2"/>
              <w:keepNext w:val="0"/>
              <w:rPr>
                <w:b w:val="0"/>
                <w:i/>
                <w:lang w:val="ro-RO" w:eastAsia="en-US"/>
              </w:rPr>
            </w:pPr>
            <w:r w:rsidRPr="007633BD">
              <w:rPr>
                <w:b w:val="0"/>
                <w:i/>
                <w:lang w:val="ro-RO" w:eastAsia="en-US"/>
              </w:rPr>
              <w:lastRenderedPageBreak/>
              <w:t>10. Fondul de carte din biblioteca proprie există într-un număr suficient de exemplare pentru acoperirea necesităţilor tuturor studenţilor aflaţi în ciclul şi anul de studiu la care este prevăzută disciplina respectivă.</w:t>
            </w:r>
          </w:p>
        </w:tc>
        <w:tc>
          <w:tcPr>
            <w:tcW w:w="6829" w:type="dxa"/>
            <w:tcBorders>
              <w:right w:val="single" w:sz="4" w:space="0" w:color="auto"/>
            </w:tcBorders>
            <w:vAlign w:val="center"/>
          </w:tcPr>
          <w:p w:rsidR="00B73BBC" w:rsidRPr="00F03104" w:rsidRDefault="00B73BBC" w:rsidP="00455841">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1040"/>
          <w:tblHeader/>
        </w:trPr>
        <w:tc>
          <w:tcPr>
            <w:tcW w:w="7488" w:type="dxa"/>
            <w:tcBorders>
              <w:left w:val="single" w:sz="4" w:space="0" w:color="auto"/>
            </w:tcBorders>
            <w:vAlign w:val="center"/>
          </w:tcPr>
          <w:p w:rsidR="00B73BBC" w:rsidRPr="007633BD" w:rsidRDefault="00B73BBC" w:rsidP="00963FEF">
            <w:pPr>
              <w:pStyle w:val="Heading2"/>
              <w:keepNext w:val="0"/>
              <w:rPr>
                <w:b w:val="0"/>
                <w:i/>
                <w:lang w:val="ro-RO" w:eastAsia="en-US"/>
              </w:rPr>
            </w:pPr>
            <w:r w:rsidRPr="007633BD">
              <w:rPr>
                <w:b w:val="0"/>
                <w:i/>
                <w:color w:val="002060"/>
                <w:lang w:val="ro-RO" w:eastAsia="en-US"/>
              </w:rPr>
              <w:t>11.</w:t>
            </w:r>
            <w:r w:rsidRPr="007633BD">
              <w:rPr>
                <w:b w:val="0"/>
                <w:i/>
                <w:lang w:val="ro-RO" w:eastAsia="en-US"/>
              </w:rPr>
              <w:t>Bibliotecile instituţiei de învăţământ asigură un număr suficient de abonamente la publicaţii şi periodice româneşti şi străine, corespunzător misiunii asumate.</w:t>
            </w:r>
          </w:p>
        </w:tc>
        <w:tc>
          <w:tcPr>
            <w:tcW w:w="6829" w:type="dxa"/>
            <w:tcBorders>
              <w:right w:val="single" w:sz="4" w:space="0" w:color="auto"/>
            </w:tcBorders>
            <w:vAlign w:val="center"/>
          </w:tcPr>
          <w:p w:rsidR="00B73BBC" w:rsidRPr="00F03104" w:rsidRDefault="00B73BBC" w:rsidP="00455841">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1040"/>
          <w:tblHeader/>
        </w:trPr>
        <w:tc>
          <w:tcPr>
            <w:tcW w:w="7488" w:type="dxa"/>
            <w:tcBorders>
              <w:left w:val="single" w:sz="4" w:space="0" w:color="auto"/>
            </w:tcBorders>
            <w:vAlign w:val="center"/>
          </w:tcPr>
          <w:p w:rsidR="00B73BBC" w:rsidRPr="007633BD" w:rsidRDefault="00B73BBC" w:rsidP="00963FEF">
            <w:pPr>
              <w:pStyle w:val="Heading2"/>
              <w:keepNext w:val="0"/>
              <w:rPr>
                <w:b w:val="0"/>
                <w:i/>
                <w:color w:val="002060"/>
                <w:lang w:val="ro-RO" w:eastAsia="en-US"/>
              </w:rPr>
            </w:pPr>
            <w:r w:rsidRPr="007633BD">
              <w:rPr>
                <w:b w:val="0"/>
                <w:i/>
                <w:lang w:val="ro-RO" w:eastAsia="en-US"/>
              </w:rPr>
              <w:t>12.În ansamblu, baza materială a instituţiei de învăţământ superior supuse evaluării corespunde standardelor care asigură desfăşurarea unui proces de învăţământ de calitate.</w:t>
            </w:r>
          </w:p>
        </w:tc>
        <w:tc>
          <w:tcPr>
            <w:tcW w:w="6829" w:type="dxa"/>
            <w:tcBorders>
              <w:right w:val="single" w:sz="4" w:space="0" w:color="auto"/>
            </w:tcBorders>
            <w:vAlign w:val="center"/>
          </w:tcPr>
          <w:p w:rsidR="00B73BBC" w:rsidRPr="00C94EAC" w:rsidRDefault="00B73BBC" w:rsidP="00455841">
            <w:pPr>
              <w:jc w:val="both"/>
              <w:rPr>
                <w:lang w:val="ro-RO"/>
              </w:rPr>
            </w:pPr>
          </w:p>
        </w:tc>
      </w:tr>
      <w:tr w:rsidR="00B73BBC" w:rsidRPr="00767259" w:rsidTr="00B73BBC">
        <w:trPr>
          <w:tblHeader/>
        </w:trPr>
        <w:tc>
          <w:tcPr>
            <w:tcW w:w="7488" w:type="dxa"/>
            <w:shd w:val="pct15" w:color="000000" w:fill="FFFFFF"/>
            <w:vAlign w:val="center"/>
          </w:tcPr>
          <w:p w:rsidR="00B73BBC" w:rsidRPr="0042137D" w:rsidRDefault="00B73BBC" w:rsidP="00AF750B">
            <w:pPr>
              <w:pStyle w:val="Heading6"/>
              <w:ind w:left="855" w:hanging="855"/>
              <w:rPr>
                <w:sz w:val="24"/>
                <w:szCs w:val="24"/>
                <w:lang w:val="ro-RO" w:eastAsia="en-US"/>
              </w:rPr>
            </w:pPr>
            <w:r w:rsidRPr="0042137D">
              <w:rPr>
                <w:sz w:val="24"/>
                <w:szCs w:val="24"/>
                <w:lang w:val="ro-RO" w:eastAsia="en-US"/>
              </w:rPr>
              <w:t xml:space="preserve">VIII. </w:t>
            </w:r>
            <w:r w:rsidRPr="0042137D">
              <w:rPr>
                <w:caps/>
                <w:sz w:val="24"/>
                <w:szCs w:val="24"/>
                <w:lang w:val="ro-RO" w:eastAsia="en-US"/>
              </w:rPr>
              <w:t>activitatea financiară</w:t>
            </w:r>
            <w:r>
              <w:rPr>
                <w:caps/>
                <w:sz w:val="24"/>
                <w:szCs w:val="24"/>
                <w:lang w:val="ro-RO" w:eastAsia="en-US"/>
              </w:rPr>
              <w:t xml:space="preserve"> </w:t>
            </w:r>
          </w:p>
        </w:tc>
        <w:tc>
          <w:tcPr>
            <w:tcW w:w="6829" w:type="dxa"/>
            <w:shd w:val="pct15" w:color="000000" w:fill="FFFFFF"/>
            <w:vAlign w:val="center"/>
          </w:tcPr>
          <w:p w:rsidR="00B73BBC" w:rsidRPr="00EA66D7" w:rsidRDefault="00B73BBC" w:rsidP="00AF750B">
            <w:pPr>
              <w:pStyle w:val="Heading6"/>
              <w:tabs>
                <w:tab w:val="left" w:pos="340"/>
              </w:tabs>
              <w:spacing w:before="0" w:after="0"/>
              <w:ind w:left="34"/>
              <w:rPr>
                <w:i/>
                <w:sz w:val="16"/>
                <w:szCs w:val="16"/>
                <w:lang w:val="ro-RO" w:eastAsia="en-US"/>
              </w:rPr>
            </w:pPr>
            <w:r w:rsidRPr="00EA66D7">
              <w:rPr>
                <w:i/>
                <w:sz w:val="16"/>
                <w:szCs w:val="16"/>
                <w:lang w:val="ro-RO" w:eastAsia="en-US"/>
              </w:rPr>
              <w:t>Se evaluează şi se completează</w:t>
            </w:r>
            <w:r>
              <w:rPr>
                <w:i/>
                <w:sz w:val="16"/>
                <w:szCs w:val="16"/>
                <w:lang w:val="ro-RO" w:eastAsia="en-US"/>
              </w:rPr>
              <w:t xml:space="preserve"> </w:t>
            </w:r>
            <w:r w:rsidRPr="00EA66D7">
              <w:rPr>
                <w:i/>
                <w:sz w:val="16"/>
                <w:szCs w:val="16"/>
                <w:lang w:val="ro-RO" w:eastAsia="en-US"/>
              </w:rPr>
              <w:t>numai în următoarele cazuri:</w:t>
            </w:r>
          </w:p>
          <w:p w:rsidR="00B73BBC" w:rsidRPr="00EA66D7" w:rsidRDefault="00B73BBC" w:rsidP="00AF750B">
            <w:pPr>
              <w:pStyle w:val="Heading6"/>
              <w:numPr>
                <w:ilvl w:val="0"/>
                <w:numId w:val="1"/>
              </w:numPr>
              <w:tabs>
                <w:tab w:val="left" w:pos="340"/>
              </w:tabs>
              <w:spacing w:before="0" w:after="0"/>
              <w:ind w:left="34" w:firstLine="0"/>
              <w:rPr>
                <w:i/>
                <w:sz w:val="16"/>
                <w:szCs w:val="16"/>
                <w:lang w:val="ro-RO" w:eastAsia="en-US"/>
              </w:rPr>
            </w:pPr>
            <w:r w:rsidRPr="00EA66D7">
              <w:rPr>
                <w:i/>
                <w:sz w:val="16"/>
                <w:szCs w:val="16"/>
                <w:lang w:val="ro-RO" w:eastAsia="en-US"/>
              </w:rPr>
              <w:t>Dacă la data evaluării programului de studii IÎS nu a fost încă supusă evaluării instituţionale;</w:t>
            </w:r>
          </w:p>
          <w:p w:rsidR="00B73BBC" w:rsidRPr="0042137D" w:rsidRDefault="00B73BBC" w:rsidP="00AF750B">
            <w:pPr>
              <w:pStyle w:val="Heading6"/>
              <w:numPr>
                <w:ilvl w:val="0"/>
                <w:numId w:val="1"/>
              </w:numPr>
              <w:tabs>
                <w:tab w:val="left" w:pos="340"/>
              </w:tabs>
              <w:spacing w:before="0" w:after="0"/>
              <w:ind w:left="34" w:firstLine="0"/>
              <w:rPr>
                <w:i/>
                <w:sz w:val="16"/>
                <w:szCs w:val="16"/>
                <w:lang w:val="ro-RO" w:eastAsia="en-US"/>
              </w:rPr>
            </w:pPr>
            <w:r w:rsidRPr="00EA66D7">
              <w:rPr>
                <w:i/>
                <w:sz w:val="16"/>
                <w:szCs w:val="16"/>
                <w:lang w:val="ro-RO" w:eastAsia="en-US"/>
              </w:rPr>
              <w:t>Dacă în urma evaluării instituţionale precedente, instituţi</w:t>
            </w:r>
            <w:r>
              <w:rPr>
                <w:i/>
                <w:sz w:val="16"/>
                <w:szCs w:val="16"/>
                <w:lang w:val="ro-RO" w:eastAsia="en-US"/>
              </w:rPr>
              <w:t>ei i s-a acordat calificativul  „încredere” sau „</w:t>
            </w:r>
            <w:r w:rsidRPr="00EA66D7">
              <w:rPr>
                <w:i/>
                <w:sz w:val="16"/>
                <w:szCs w:val="16"/>
                <w:lang w:val="ro-RO" w:eastAsia="en-US"/>
              </w:rPr>
              <w:t>grad de încredere limitat</w:t>
            </w:r>
            <w:r w:rsidRPr="00767259">
              <w:rPr>
                <w:i/>
                <w:sz w:val="16"/>
                <w:szCs w:val="16"/>
                <w:lang w:val="ro-RO" w:eastAsia="en-US"/>
              </w:rPr>
              <w:t>”</w:t>
            </w:r>
            <w:r w:rsidRPr="0042137D">
              <w:rPr>
                <w:i/>
                <w:sz w:val="16"/>
                <w:szCs w:val="16"/>
                <w:lang w:val="ro-RO" w:eastAsia="en-US"/>
              </w:rPr>
              <w:t xml:space="preserve"> </w:t>
            </w:r>
          </w:p>
        </w:tc>
      </w:tr>
      <w:tr w:rsidR="00B73BBC" w:rsidRPr="00767259" w:rsidTr="00B73BBC">
        <w:trPr>
          <w:trHeight w:val="886"/>
          <w:tblHeader/>
        </w:trPr>
        <w:tc>
          <w:tcPr>
            <w:tcW w:w="7488" w:type="dxa"/>
            <w:vAlign w:val="center"/>
          </w:tcPr>
          <w:p w:rsidR="00B73BBC" w:rsidRPr="0042137D" w:rsidRDefault="00B73BBC" w:rsidP="00AF750B">
            <w:pPr>
              <w:pStyle w:val="Heading6"/>
              <w:rPr>
                <w:sz w:val="24"/>
                <w:szCs w:val="24"/>
                <w:lang w:val="ro-RO" w:eastAsia="en-US"/>
              </w:rPr>
            </w:pPr>
            <w:r w:rsidRPr="007633BD">
              <w:rPr>
                <w:b w:val="0"/>
                <w:i/>
                <w:sz w:val="22"/>
                <w:szCs w:val="22"/>
                <w:lang w:val="ro-RO" w:eastAsia="en-US"/>
              </w:rPr>
              <w:t>1. Instituţia solicitantă trebuie să facă dovada că dispune de buget propriu de venituri şi cheltuieli pentru activitatea de învăţământ superior, cod fiscal şi cont la bancă, altele decât cele ale fundaţiei sau asociaţiei în cadrul căreia funcţionează.</w:t>
            </w:r>
          </w:p>
        </w:tc>
        <w:tc>
          <w:tcPr>
            <w:tcW w:w="6829" w:type="dxa"/>
            <w:vAlign w:val="center"/>
          </w:tcPr>
          <w:p w:rsidR="00B73BBC" w:rsidRPr="00F03104" w:rsidRDefault="00B73BBC" w:rsidP="00E258AC">
            <w:pPr>
              <w:rPr>
                <w:lang w:val="ro-RO"/>
              </w:rPr>
            </w:pPr>
            <w:r w:rsidRPr="00F03104">
              <w:rPr>
                <w:lang w:val="ro-RO"/>
              </w:rPr>
              <w:t>UBB dispune de buget propriu (Anexa A.3.1c – Buget 2013), cod fiscal și cod la bancă (Anexa A.3-2 Cerificat de inregistrare fiscala). A se vedea și Raport, Secțiunea 1.4.2.</w:t>
            </w:r>
          </w:p>
        </w:tc>
      </w:tr>
      <w:tr w:rsidR="00B73BBC" w:rsidRPr="00767259" w:rsidTr="00B73BBC">
        <w:trPr>
          <w:trHeight w:val="816"/>
          <w:tblHeader/>
        </w:trPr>
        <w:tc>
          <w:tcPr>
            <w:tcW w:w="7488" w:type="dxa"/>
            <w:vAlign w:val="center"/>
          </w:tcPr>
          <w:p w:rsidR="00B73BBC" w:rsidRPr="0042137D" w:rsidRDefault="00B73BBC" w:rsidP="00AF750B">
            <w:pPr>
              <w:pStyle w:val="Heading6"/>
              <w:rPr>
                <w:sz w:val="24"/>
                <w:szCs w:val="24"/>
                <w:lang w:val="ro-RO" w:eastAsia="en-US"/>
              </w:rPr>
            </w:pPr>
            <w:r w:rsidRPr="007633BD">
              <w:rPr>
                <w:b w:val="0"/>
                <w:i/>
                <w:sz w:val="22"/>
                <w:szCs w:val="22"/>
                <w:lang w:val="ro-RO" w:eastAsia="en-US"/>
              </w:rPr>
              <w:t>2. Instituţia de învăţământ superior trebuie să facă dovada că a utilizat în perioada funcţionării provizorii cel puţin 30% din veniturile obţinute în fiecare an pentru investiţii în baza materială proprie.</w:t>
            </w:r>
          </w:p>
        </w:tc>
        <w:tc>
          <w:tcPr>
            <w:tcW w:w="6829" w:type="dxa"/>
            <w:vAlign w:val="center"/>
          </w:tcPr>
          <w:p w:rsidR="00B73BBC" w:rsidRPr="00C94EAC" w:rsidRDefault="00B73BBC" w:rsidP="00E258AC">
            <w:pPr>
              <w:rPr>
                <w:lang w:val="ro-RO"/>
              </w:rPr>
            </w:pPr>
            <w:r w:rsidRPr="00C94EAC">
              <w:rPr>
                <w:lang w:val="ro-RO"/>
              </w:rPr>
              <w:t>Nu este cazul.</w:t>
            </w:r>
          </w:p>
        </w:tc>
      </w:tr>
      <w:tr w:rsidR="00B73BBC" w:rsidRPr="00767259" w:rsidTr="00B73BBC">
        <w:trPr>
          <w:trHeight w:val="816"/>
          <w:tblHeader/>
        </w:trPr>
        <w:tc>
          <w:tcPr>
            <w:tcW w:w="7488" w:type="dxa"/>
            <w:vAlign w:val="center"/>
          </w:tcPr>
          <w:p w:rsidR="00B73BBC" w:rsidRPr="007633BD" w:rsidRDefault="00B73BBC" w:rsidP="00AF750B">
            <w:pPr>
              <w:pStyle w:val="Heading6"/>
              <w:rPr>
                <w:b w:val="0"/>
                <w:i/>
                <w:sz w:val="22"/>
                <w:szCs w:val="22"/>
                <w:lang w:val="ro-RO" w:eastAsia="en-US"/>
              </w:rPr>
            </w:pPr>
            <w:r w:rsidRPr="007633BD">
              <w:rPr>
                <w:b w:val="0"/>
                <w:i/>
                <w:sz w:val="22"/>
                <w:szCs w:val="22"/>
                <w:lang w:val="ro-RO" w:eastAsia="en-US"/>
              </w:rPr>
              <w:t>3. Instituţia de învăţământ superior trebuie să facă dovada că în perioada funcţionării provizorii şi-a organizat contabilitate proprie întocmind registrul inventar, bilanţ contabil, cont de execuţie bugetară şi raport de gestiune, din care rezultă că cheltuielile efectuate sunt în concordanţă cu legislaţia în vigoare, veniturile încasate şi destinaţia lor, precum şi caracterul non-profit al acesteia.</w:t>
            </w:r>
          </w:p>
        </w:tc>
        <w:tc>
          <w:tcPr>
            <w:tcW w:w="6829" w:type="dxa"/>
            <w:vAlign w:val="center"/>
          </w:tcPr>
          <w:p w:rsidR="00B73BBC" w:rsidRPr="00C94EAC" w:rsidRDefault="00B73BBC" w:rsidP="00E258AC">
            <w:pPr>
              <w:rPr>
                <w:lang w:val="ro-RO"/>
              </w:rPr>
            </w:pPr>
            <w:r w:rsidRPr="00C94EAC">
              <w:rPr>
                <w:lang w:val="ro-RO"/>
              </w:rPr>
              <w:t>Nu este cazul.</w:t>
            </w:r>
          </w:p>
        </w:tc>
      </w:tr>
      <w:tr w:rsidR="00B73BBC" w:rsidRPr="00985E74" w:rsidTr="00B73BBC">
        <w:trPr>
          <w:tblHeader/>
        </w:trPr>
        <w:tc>
          <w:tcPr>
            <w:tcW w:w="7488" w:type="dxa"/>
            <w:vAlign w:val="center"/>
          </w:tcPr>
          <w:p w:rsidR="00B73BBC" w:rsidRPr="007633BD" w:rsidRDefault="00B73BBC" w:rsidP="00963FEF">
            <w:pPr>
              <w:pStyle w:val="Heading2"/>
              <w:keepNext w:val="0"/>
              <w:rPr>
                <w:b w:val="0"/>
                <w:i/>
                <w:color w:val="auto"/>
                <w:lang w:val="ro-RO" w:eastAsia="en-US"/>
              </w:rPr>
            </w:pPr>
            <w:r w:rsidRPr="007633BD">
              <w:rPr>
                <w:b w:val="0"/>
                <w:i/>
                <w:color w:val="auto"/>
                <w:lang w:val="ro-RO" w:eastAsia="en-US"/>
              </w:rPr>
              <w:t>4. Taxele şcolare ale studenţilor sunt calculate în concordanţă cu costurile medii de şcolarizare pe an universitar din învăţământul public finanţat de la buget şi sunt aduse la cunoştinţa studenţilor prin diferite mijloace de comunicare.</w:t>
            </w:r>
          </w:p>
        </w:tc>
        <w:tc>
          <w:tcPr>
            <w:tcW w:w="6829" w:type="dxa"/>
            <w:vAlign w:val="center"/>
          </w:tcPr>
          <w:p w:rsidR="00B73BBC" w:rsidRPr="009E4545" w:rsidRDefault="00B73BBC" w:rsidP="00E258AC">
            <w:pPr>
              <w:rPr>
                <w:lang w:val="ro-RO"/>
              </w:rPr>
            </w:pPr>
            <w:r w:rsidRPr="00D7755B">
              <w:rPr>
                <w:lang w:val="ro-RO"/>
              </w:rPr>
              <w:t>Taxele şcolare (3000RON) ale studenţilor se corelează cu finanţarea per student  2580 RON și sunt publicate pe site-ul FMI http://www.cs.ubbcluj.ro/taxe-valabile-pentru-anul-universitar-2013-2014/</w:t>
            </w:r>
          </w:p>
        </w:tc>
      </w:tr>
      <w:tr w:rsidR="00B73BBC" w:rsidRPr="00985E74" w:rsidTr="00B73BBC">
        <w:trPr>
          <w:tblHeader/>
        </w:trPr>
        <w:tc>
          <w:tcPr>
            <w:tcW w:w="7488" w:type="dxa"/>
            <w:vAlign w:val="center"/>
          </w:tcPr>
          <w:p w:rsidR="00B73BBC" w:rsidRPr="007633BD" w:rsidRDefault="00B73BBC" w:rsidP="00963FEF">
            <w:pPr>
              <w:pStyle w:val="Heading2"/>
              <w:keepNext w:val="0"/>
              <w:rPr>
                <w:b w:val="0"/>
                <w:i/>
                <w:color w:val="auto"/>
                <w:lang w:val="ro-RO" w:eastAsia="en-US"/>
              </w:rPr>
            </w:pPr>
            <w:r w:rsidRPr="007633BD">
              <w:rPr>
                <w:b w:val="0"/>
                <w:i/>
                <w:color w:val="auto"/>
                <w:lang w:val="ro-RO" w:eastAsia="en-US"/>
              </w:rPr>
              <w:lastRenderedPageBreak/>
              <w:t>5. Studenţii sunt informaţi despre posibilităţile de asistenţă financiară din partea instituţiei şi despre modul de utilizare a taxelor.</w:t>
            </w:r>
          </w:p>
        </w:tc>
        <w:tc>
          <w:tcPr>
            <w:tcW w:w="6829" w:type="dxa"/>
            <w:vAlign w:val="center"/>
          </w:tcPr>
          <w:p w:rsidR="00B73BBC" w:rsidRPr="00F03104" w:rsidRDefault="00B73BBC" w:rsidP="00455841">
            <w:pPr>
              <w:jc w:val="both"/>
              <w:rPr>
                <w:lang w:val="ro-RO"/>
              </w:rPr>
            </w:pPr>
            <w:r w:rsidRPr="00F03104">
              <w:rPr>
                <w:lang w:val="ro-RO"/>
              </w:rPr>
              <w:t xml:space="preserve">Regulamentele și afișele de la aviziere asigură informarea studenților </w:t>
            </w:r>
            <w:r w:rsidRPr="00D7755B">
              <w:rPr>
                <w:lang w:val="ro-RO"/>
              </w:rPr>
              <w:t>despre posibilităţile de asistenţă financiară din partea instituţiei şi despre modul de utilizare a taxelor.</w:t>
            </w:r>
            <w:r w:rsidRPr="00F03104">
              <w:rPr>
                <w:lang w:val="ro-RO"/>
              </w:rPr>
              <w:t xml:space="preserve"> De asemenea, aceste informații sunt p</w:t>
            </w:r>
            <w:r w:rsidRPr="00D7755B">
              <w:rPr>
                <w:lang w:val="ro-RO"/>
              </w:rPr>
              <w:t xml:space="preserve">ublicate pe site-ul FMI </w:t>
            </w:r>
            <w:hyperlink r:id="rId8" w:history="1">
              <w:r w:rsidRPr="00D7755B">
                <w:rPr>
                  <w:rStyle w:val="Hyperlink"/>
                  <w:lang w:val="ro-RO"/>
                </w:rPr>
                <w:t>http://www.cs.ubbcluj.ro/taxe-valabile-pentru-anul-universitar-2013-2014</w:t>
              </w:r>
            </w:hyperlink>
          </w:p>
        </w:tc>
      </w:tr>
      <w:tr w:rsidR="00B73BBC" w:rsidRPr="00767259" w:rsidTr="00B73BBC">
        <w:trPr>
          <w:tblHeader/>
        </w:trPr>
        <w:tc>
          <w:tcPr>
            <w:tcW w:w="7488" w:type="dxa"/>
            <w:vAlign w:val="center"/>
          </w:tcPr>
          <w:p w:rsidR="00B73BBC" w:rsidRPr="007633BD" w:rsidRDefault="00B73BBC" w:rsidP="00963FEF">
            <w:pPr>
              <w:pStyle w:val="Heading2"/>
              <w:keepNext w:val="0"/>
              <w:rPr>
                <w:b w:val="0"/>
                <w:i/>
                <w:color w:val="auto"/>
                <w:lang w:val="ro-RO" w:eastAsia="en-US"/>
              </w:rPr>
            </w:pPr>
            <w:r w:rsidRPr="007633BD">
              <w:rPr>
                <w:b w:val="0"/>
                <w:i/>
                <w:color w:val="auto"/>
                <w:lang w:val="ro-RO" w:eastAsia="en-US"/>
              </w:rPr>
              <w:t>6. După trei cicluri de şcolarizare ulterioare înfiinţării prin lege, instituţia de învăţământ superior trebuie să facă dovada că dispune în proprietate de cel puţin 70% din spaţiile de învăţământ cu toate dotările necesare acestora.</w:t>
            </w:r>
          </w:p>
        </w:tc>
        <w:tc>
          <w:tcPr>
            <w:tcW w:w="6829" w:type="dxa"/>
            <w:vAlign w:val="center"/>
          </w:tcPr>
          <w:p w:rsidR="00B73BBC" w:rsidRPr="00C94EAC" w:rsidRDefault="00B73BBC" w:rsidP="00E258AC">
            <w:pPr>
              <w:rPr>
                <w:lang w:val="ro-RO"/>
              </w:rPr>
            </w:pPr>
            <w:r w:rsidRPr="00C94EAC">
              <w:rPr>
                <w:lang w:val="ro-RO"/>
              </w:rPr>
              <w:t>Nu este cazul.</w:t>
            </w:r>
          </w:p>
        </w:tc>
      </w:tr>
      <w:tr w:rsidR="00B73BBC" w:rsidRPr="00767259" w:rsidTr="00B73BBC">
        <w:trPr>
          <w:tblHeader/>
        </w:trPr>
        <w:tc>
          <w:tcPr>
            <w:tcW w:w="7488" w:type="dxa"/>
            <w:shd w:val="pct15" w:color="000000" w:fill="FFFFFF"/>
            <w:vAlign w:val="center"/>
          </w:tcPr>
          <w:p w:rsidR="00B73BBC" w:rsidRPr="00403D3D" w:rsidRDefault="00B73BBC" w:rsidP="00AF750B">
            <w:pPr>
              <w:pStyle w:val="Heading6"/>
              <w:ind w:left="855" w:hanging="855"/>
              <w:rPr>
                <w:sz w:val="24"/>
                <w:szCs w:val="24"/>
                <w:lang w:val="ro-RO" w:eastAsia="en-US"/>
              </w:rPr>
            </w:pPr>
            <w:r w:rsidRPr="00403D3D">
              <w:rPr>
                <w:sz w:val="24"/>
                <w:szCs w:val="24"/>
                <w:lang w:val="ro-RO" w:eastAsia="en-US"/>
              </w:rPr>
              <w:t xml:space="preserve">IX. </w:t>
            </w:r>
            <w:r w:rsidRPr="00403D3D">
              <w:rPr>
                <w:caps/>
                <w:sz w:val="24"/>
                <w:szCs w:val="24"/>
                <w:lang w:val="ro-RO" w:eastAsia="en-US"/>
              </w:rPr>
              <w:t xml:space="preserve">activitatea managerială şi structurile instituţionale </w:t>
            </w:r>
          </w:p>
        </w:tc>
        <w:tc>
          <w:tcPr>
            <w:tcW w:w="6829" w:type="dxa"/>
            <w:shd w:val="pct15" w:color="000000" w:fill="FFFFFF"/>
            <w:vAlign w:val="center"/>
          </w:tcPr>
          <w:p w:rsidR="00B73BBC" w:rsidRPr="00EA66D7" w:rsidRDefault="00B73BBC" w:rsidP="00AF750B">
            <w:pPr>
              <w:pStyle w:val="Heading6"/>
              <w:tabs>
                <w:tab w:val="left" w:pos="340"/>
              </w:tabs>
              <w:spacing w:before="0" w:after="0"/>
              <w:rPr>
                <w:i/>
                <w:sz w:val="16"/>
                <w:szCs w:val="16"/>
                <w:lang w:val="ro-RO" w:eastAsia="en-US"/>
              </w:rPr>
            </w:pPr>
            <w:r w:rsidRPr="00EA66D7">
              <w:rPr>
                <w:i/>
                <w:sz w:val="16"/>
                <w:szCs w:val="16"/>
                <w:lang w:val="ro-RO" w:eastAsia="en-US"/>
              </w:rPr>
              <w:t>Se evaluează şi se completează</w:t>
            </w:r>
            <w:r>
              <w:rPr>
                <w:i/>
                <w:sz w:val="16"/>
                <w:szCs w:val="16"/>
                <w:lang w:val="ro-RO" w:eastAsia="en-US"/>
              </w:rPr>
              <w:t xml:space="preserve"> </w:t>
            </w:r>
            <w:r w:rsidRPr="00EA66D7">
              <w:rPr>
                <w:i/>
                <w:sz w:val="16"/>
                <w:szCs w:val="16"/>
                <w:lang w:val="ro-RO" w:eastAsia="en-US"/>
              </w:rPr>
              <w:t>numai în următoarele cazuri:</w:t>
            </w:r>
          </w:p>
          <w:p w:rsidR="00B73BBC" w:rsidRPr="009F1B19" w:rsidRDefault="00B73BBC" w:rsidP="00AF750B">
            <w:pPr>
              <w:pStyle w:val="Heading6"/>
              <w:numPr>
                <w:ilvl w:val="0"/>
                <w:numId w:val="2"/>
              </w:numPr>
              <w:tabs>
                <w:tab w:val="left" w:pos="340"/>
              </w:tabs>
              <w:spacing w:before="0" w:after="0"/>
              <w:ind w:left="34" w:firstLine="0"/>
              <w:rPr>
                <w:i/>
                <w:sz w:val="16"/>
                <w:szCs w:val="16"/>
                <w:lang w:val="ro-RO" w:eastAsia="en-US"/>
              </w:rPr>
            </w:pPr>
            <w:r w:rsidRPr="009F1B19">
              <w:rPr>
                <w:i/>
                <w:sz w:val="16"/>
                <w:szCs w:val="16"/>
                <w:lang w:val="ro-RO" w:eastAsia="en-US"/>
              </w:rPr>
              <w:t>Dacă la data evaluării programului de studii IÎS nu a fost încă supusă evaluării instituţionale;</w:t>
            </w:r>
          </w:p>
          <w:p w:rsidR="00B73BBC" w:rsidRPr="00767259" w:rsidRDefault="00B73BBC" w:rsidP="00AF750B">
            <w:pPr>
              <w:pStyle w:val="Heading6"/>
              <w:numPr>
                <w:ilvl w:val="0"/>
                <w:numId w:val="2"/>
              </w:numPr>
              <w:tabs>
                <w:tab w:val="left" w:pos="340"/>
              </w:tabs>
              <w:spacing w:before="0" w:after="0"/>
              <w:ind w:left="34" w:firstLine="0"/>
              <w:rPr>
                <w:i/>
                <w:sz w:val="16"/>
                <w:szCs w:val="16"/>
                <w:lang w:val="ro-RO" w:eastAsia="en-US"/>
              </w:rPr>
            </w:pPr>
            <w:r w:rsidRPr="009F1B19">
              <w:rPr>
                <w:i/>
                <w:sz w:val="16"/>
                <w:szCs w:val="16"/>
                <w:lang w:val="ro-RO" w:eastAsia="en-US"/>
              </w:rPr>
              <w:t>Dacă în urma evaluării instituţionale precedente, instituţiei i s-a acordat calificativul „ încredere” sau „ grad de încredere limitat</w:t>
            </w:r>
            <w:r w:rsidRPr="00767259">
              <w:rPr>
                <w:i/>
                <w:sz w:val="16"/>
                <w:szCs w:val="16"/>
                <w:lang w:val="ro-RO" w:eastAsia="en-US"/>
              </w:rPr>
              <w:t>”</w:t>
            </w:r>
          </w:p>
        </w:tc>
      </w:tr>
      <w:tr w:rsidR="00B73BBC" w:rsidRPr="00767259" w:rsidTr="00B73BBC">
        <w:trPr>
          <w:trHeight w:val="1160"/>
          <w:tblHeader/>
        </w:trPr>
        <w:tc>
          <w:tcPr>
            <w:tcW w:w="7488" w:type="dxa"/>
            <w:vAlign w:val="center"/>
          </w:tcPr>
          <w:p w:rsidR="00B73BBC" w:rsidRPr="007633BD" w:rsidRDefault="00B73BBC" w:rsidP="00963FEF">
            <w:pPr>
              <w:pStyle w:val="Heading2"/>
              <w:keepNext w:val="0"/>
              <w:rPr>
                <w:b w:val="0"/>
                <w:i/>
                <w:color w:val="auto"/>
                <w:lang w:val="ro-RO" w:eastAsia="en-US"/>
              </w:rPr>
            </w:pPr>
            <w:r w:rsidRPr="007633BD">
              <w:rPr>
                <w:b w:val="0"/>
                <w:i/>
                <w:color w:val="auto"/>
                <w:lang w:val="ro-RO" w:eastAsia="en-US"/>
              </w:rPr>
              <w:t>1. Instituţia de învăţământ superior trebuie să facă dovada că au fost respectate dispoziţiile legale pentru alegerea organelor colective de conducere (consiliul facultăţii şi senat) precum şi a cadrelor de conducere de la nivelul catedrelor şi departamentelor, respectiv a şefilor de departamente, facultăţilor (decan, prodecan, secretar ştiinţific şi a directorilor) şi instituţiei (rector, prorector, secretar ştiinţific).</w:t>
            </w:r>
          </w:p>
        </w:tc>
        <w:tc>
          <w:tcPr>
            <w:tcW w:w="6829" w:type="dxa"/>
            <w:vAlign w:val="center"/>
          </w:tcPr>
          <w:p w:rsidR="00B73BBC" w:rsidRPr="00F03104" w:rsidRDefault="00B73BBC" w:rsidP="00455841">
            <w:pPr>
              <w:jc w:val="both"/>
              <w:rPr>
                <w:lang w:val="ro-RO"/>
              </w:rPr>
            </w:pPr>
          </w:p>
        </w:tc>
      </w:tr>
      <w:tr w:rsidR="00B73BBC" w:rsidRPr="00767259" w:rsidTr="00B73BBC">
        <w:trPr>
          <w:trHeight w:val="710"/>
          <w:tblHeader/>
        </w:trPr>
        <w:tc>
          <w:tcPr>
            <w:tcW w:w="7488" w:type="dxa"/>
            <w:vAlign w:val="center"/>
          </w:tcPr>
          <w:p w:rsidR="00B73BBC" w:rsidRPr="007633BD" w:rsidRDefault="00B73BBC" w:rsidP="00963FEF">
            <w:pPr>
              <w:pStyle w:val="Heading2"/>
              <w:keepNext w:val="0"/>
              <w:rPr>
                <w:b w:val="0"/>
                <w:i/>
                <w:color w:val="auto"/>
                <w:lang w:val="ro-RO" w:eastAsia="en-US"/>
              </w:rPr>
            </w:pPr>
            <w:r w:rsidRPr="007633BD">
              <w:rPr>
                <w:b w:val="0"/>
                <w:i/>
                <w:color w:val="auto"/>
                <w:lang w:val="ro-RO" w:eastAsia="en-US"/>
              </w:rPr>
              <w:t>2. Instituţia de învăţământ superior trebuie să facă dovada că dispune de Cartă universitară, Regulament de Ordine Interioară şi Regulament pentru activitatea profesională a studenţilor.</w:t>
            </w:r>
          </w:p>
        </w:tc>
        <w:tc>
          <w:tcPr>
            <w:tcW w:w="6829" w:type="dxa"/>
            <w:vAlign w:val="center"/>
          </w:tcPr>
          <w:p w:rsidR="00B73BBC" w:rsidRPr="00F03104" w:rsidRDefault="00B73BBC" w:rsidP="00AF118B">
            <w:pPr>
              <w:jc w:val="both"/>
              <w:rPr>
                <w:lang w:val="ro-RO"/>
              </w:rPr>
            </w:pPr>
          </w:p>
        </w:tc>
      </w:tr>
      <w:tr w:rsidR="00B73BBC" w:rsidRPr="00767259" w:rsidTr="00B73BBC">
        <w:trPr>
          <w:trHeight w:val="703"/>
          <w:tblHeader/>
        </w:trPr>
        <w:tc>
          <w:tcPr>
            <w:tcW w:w="7488" w:type="dxa"/>
            <w:vAlign w:val="center"/>
          </w:tcPr>
          <w:p w:rsidR="00B73BBC" w:rsidRPr="007633BD" w:rsidRDefault="00B73BBC" w:rsidP="00963FEF">
            <w:pPr>
              <w:pStyle w:val="Heading2"/>
              <w:keepNext w:val="0"/>
              <w:rPr>
                <w:b w:val="0"/>
                <w:i/>
                <w:color w:val="auto"/>
                <w:lang w:val="ro-RO" w:eastAsia="en-US"/>
              </w:rPr>
            </w:pPr>
            <w:r w:rsidRPr="007633BD">
              <w:rPr>
                <w:b w:val="0"/>
                <w:i/>
                <w:color w:val="auto"/>
                <w:lang w:val="ro-RO" w:eastAsia="en-US"/>
              </w:rPr>
              <w:t>3. Instituţia de învăţământ superior trebuie să facă dovada că s-au respectat condiţiile legale pentru publicarea şi ocuparea prin concurs a posturilor didactice.</w:t>
            </w:r>
          </w:p>
        </w:tc>
        <w:tc>
          <w:tcPr>
            <w:tcW w:w="6829" w:type="dxa"/>
            <w:vAlign w:val="center"/>
          </w:tcPr>
          <w:p w:rsidR="00B73BBC" w:rsidRPr="00F03104" w:rsidRDefault="00B73BBC" w:rsidP="00450F4A">
            <w:pPr>
              <w:jc w:val="both"/>
              <w:rPr>
                <w:lang w:val="ro-RO"/>
              </w:rPr>
            </w:pPr>
          </w:p>
        </w:tc>
      </w:tr>
      <w:tr w:rsidR="00B73BBC" w:rsidRPr="00767259" w:rsidTr="00B73BBC">
        <w:trPr>
          <w:trHeight w:val="525"/>
          <w:tblHeader/>
        </w:trPr>
        <w:tc>
          <w:tcPr>
            <w:tcW w:w="7488" w:type="dxa"/>
            <w:vAlign w:val="center"/>
          </w:tcPr>
          <w:p w:rsidR="00B73BBC" w:rsidRPr="007633BD" w:rsidRDefault="00B73BBC" w:rsidP="00963FEF">
            <w:pPr>
              <w:pStyle w:val="Heading2"/>
              <w:keepNext w:val="0"/>
              <w:rPr>
                <w:b w:val="0"/>
                <w:i/>
                <w:color w:val="auto"/>
                <w:lang w:val="ro-RO" w:eastAsia="en-US"/>
              </w:rPr>
            </w:pPr>
            <w:r w:rsidRPr="007633BD">
              <w:rPr>
                <w:b w:val="0"/>
                <w:i/>
                <w:color w:val="auto"/>
                <w:lang w:val="ro-RO" w:eastAsia="en-US"/>
              </w:rPr>
              <w:t>4. Instituţia de învăţământ superior trebuie să facă dovada organizării evidenţei activităţii profesionale a studenţilor în conformitate cu legislaţia aplicabilă Ministerului Educaţiei Naţionale în domeniu, pe formulare omologate în acest sens (cataloage, centralizatoare, registre matricole, foi matricole, diplome etc.).</w:t>
            </w:r>
          </w:p>
        </w:tc>
        <w:tc>
          <w:tcPr>
            <w:tcW w:w="6829" w:type="dxa"/>
            <w:vAlign w:val="center"/>
          </w:tcPr>
          <w:p w:rsidR="00B73BBC" w:rsidRPr="00F03104" w:rsidRDefault="00B73BBC" w:rsidP="00AF118B">
            <w:pPr>
              <w:jc w:val="both"/>
              <w:rPr>
                <w:lang w:val="ro-RO"/>
              </w:rPr>
            </w:pPr>
          </w:p>
        </w:tc>
      </w:tr>
      <w:tr w:rsidR="00B73BBC" w:rsidRPr="00767259" w:rsidTr="00B73BBC">
        <w:trPr>
          <w:trHeight w:val="686"/>
          <w:tblHeader/>
        </w:trPr>
        <w:tc>
          <w:tcPr>
            <w:tcW w:w="7488" w:type="dxa"/>
            <w:vAlign w:val="center"/>
          </w:tcPr>
          <w:p w:rsidR="00B73BBC" w:rsidRPr="007633BD" w:rsidRDefault="00B73BBC" w:rsidP="00963FEF">
            <w:pPr>
              <w:pStyle w:val="Heading2"/>
              <w:keepNext w:val="0"/>
              <w:rPr>
                <w:b w:val="0"/>
                <w:i/>
                <w:color w:val="auto"/>
                <w:lang w:val="ro-RO" w:eastAsia="en-US"/>
              </w:rPr>
            </w:pPr>
            <w:r w:rsidRPr="007633BD">
              <w:rPr>
                <w:b w:val="0"/>
                <w:i/>
                <w:color w:val="auto"/>
                <w:lang w:val="ro-RO" w:eastAsia="en-US"/>
              </w:rPr>
              <w:lastRenderedPageBreak/>
              <w:t>5. În perioada de funcţionare ulterioară precedentei evaluări externe, instituţia de învăţământ superior a respectat standardele care au stat la baza acordării autorizaţiei provizorii de funcţionare/acreditării/menţinerii acreditării – după caz.</w:t>
            </w:r>
          </w:p>
        </w:tc>
        <w:tc>
          <w:tcPr>
            <w:tcW w:w="6829" w:type="dxa"/>
            <w:vAlign w:val="center"/>
          </w:tcPr>
          <w:p w:rsidR="00B73BBC" w:rsidRPr="00EF359E" w:rsidRDefault="00B73BBC" w:rsidP="00450F4A">
            <w:pPr>
              <w:jc w:val="both"/>
              <w:rPr>
                <w:lang w:val="ro-RO"/>
              </w:rPr>
            </w:pPr>
          </w:p>
        </w:tc>
      </w:tr>
    </w:tbl>
    <w:p w:rsidR="00B73BBC" w:rsidRPr="000951DE" w:rsidRDefault="00B73BBC" w:rsidP="00885BCC">
      <w:pPr>
        <w:rPr>
          <w:lang w:val="ro-RO"/>
        </w:rPr>
      </w:pPr>
    </w:p>
    <w:p w:rsidR="00B73BBC" w:rsidRDefault="00B73BBC">
      <w:pPr>
        <w:overflowPunct/>
        <w:autoSpaceDE/>
        <w:autoSpaceDN/>
        <w:adjustRightInd/>
        <w:spacing w:after="200" w:line="276" w:lineRule="auto"/>
        <w:textAlignment w:val="auto"/>
        <w:rPr>
          <w:rFonts w:eastAsia="Calibri"/>
          <w:b/>
          <w:i/>
          <w:sz w:val="28"/>
          <w:szCs w:val="28"/>
          <w:lang w:val="ro-RO"/>
        </w:rPr>
      </w:pPr>
      <w:r>
        <w:rPr>
          <w:b/>
          <w:i/>
          <w:sz w:val="28"/>
          <w:szCs w:val="28"/>
          <w:lang w:val="ro-RO"/>
        </w:rPr>
        <w:br w:type="page"/>
      </w:r>
    </w:p>
    <w:p w:rsidR="00B73BBC" w:rsidRDefault="00B73BBC" w:rsidP="00450F4A">
      <w:pPr>
        <w:pStyle w:val="Heading9"/>
        <w:spacing w:after="120"/>
        <w:rPr>
          <w:rFonts w:ascii="Times New Roman" w:hAnsi="Times New Roman"/>
          <w:b/>
          <w:i/>
          <w:caps/>
          <w:sz w:val="28"/>
          <w:szCs w:val="28"/>
          <w:lang w:val="ro-RO"/>
        </w:rPr>
      </w:pPr>
      <w:r>
        <w:rPr>
          <w:rFonts w:ascii="Times New Roman" w:hAnsi="Times New Roman"/>
          <w:b/>
          <w:i/>
          <w:sz w:val="28"/>
          <w:szCs w:val="28"/>
          <w:lang w:val="ro-RO"/>
        </w:rPr>
        <w:lastRenderedPageBreak/>
        <w:t xml:space="preserve">B) STANDARDE ŞI INDICATORI DE PERFORMANŢĂ </w:t>
      </w:r>
      <w:r w:rsidRPr="001A3632">
        <w:rPr>
          <w:rFonts w:ascii="Times New Roman" w:hAnsi="Times New Roman"/>
          <w:b/>
          <w:i/>
          <w:caps/>
          <w:sz w:val="28"/>
          <w:szCs w:val="28"/>
          <w:lang w:val="ro-RO"/>
        </w:rPr>
        <w:t>general</w:t>
      </w:r>
      <w:r>
        <w:rPr>
          <w:rFonts w:ascii="Times New Roman" w:hAnsi="Times New Roman"/>
          <w:b/>
          <w:i/>
          <w:caps/>
          <w:sz w:val="28"/>
          <w:szCs w:val="28"/>
          <w:lang w:val="ro-RO"/>
        </w:rPr>
        <w:t>i</w:t>
      </w:r>
      <w:r w:rsidRPr="001A3632">
        <w:rPr>
          <w:rFonts w:ascii="Times New Roman" w:hAnsi="Times New Roman"/>
          <w:b/>
          <w:i/>
          <w:caps/>
          <w:sz w:val="28"/>
          <w:szCs w:val="28"/>
          <w:lang w:val="ro-RO"/>
        </w:rPr>
        <w:t xml:space="preserve"> </w:t>
      </w:r>
      <w:r>
        <w:rPr>
          <w:rFonts w:ascii="Times New Roman" w:hAnsi="Times New Roman"/>
          <w:b/>
          <w:i/>
          <w:caps/>
          <w:sz w:val="28"/>
          <w:szCs w:val="28"/>
          <w:lang w:val="ro-RO"/>
        </w:rPr>
        <w:t>ş</w:t>
      </w:r>
      <w:r w:rsidRPr="001A3632">
        <w:rPr>
          <w:rFonts w:ascii="Times New Roman" w:hAnsi="Times New Roman"/>
          <w:b/>
          <w:i/>
          <w:caps/>
          <w:sz w:val="28"/>
          <w:szCs w:val="28"/>
          <w:lang w:val="ro-RO"/>
        </w:rPr>
        <w:t>i specific</w:t>
      </w:r>
      <w:r>
        <w:rPr>
          <w:rFonts w:ascii="Times New Roman" w:hAnsi="Times New Roman"/>
          <w:b/>
          <w:i/>
          <w:caps/>
          <w:sz w:val="28"/>
          <w:szCs w:val="28"/>
          <w:lang w:val="ro-RO"/>
        </w:rPr>
        <w:t>i</w:t>
      </w:r>
    </w:p>
    <w:p w:rsidR="00B73BBC" w:rsidRPr="000D6DC7" w:rsidRDefault="00B73BBC" w:rsidP="00885BCC">
      <w:pPr>
        <w:rPr>
          <w:lang w:val="ro-RO"/>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8"/>
        <w:gridCol w:w="6687"/>
      </w:tblGrid>
      <w:tr w:rsidR="00B73BBC" w:rsidTr="00B73BBC">
        <w:trPr>
          <w:cantSplit/>
        </w:trPr>
        <w:tc>
          <w:tcPr>
            <w:tcW w:w="7488" w:type="dxa"/>
            <w:shd w:val="pct15" w:color="000000" w:fill="FFFFFF"/>
          </w:tcPr>
          <w:p w:rsidR="00B73BBC" w:rsidRDefault="00B73BBC" w:rsidP="00AF750B">
            <w:pPr>
              <w:pStyle w:val="Heading6"/>
              <w:ind w:left="855" w:hanging="855"/>
              <w:rPr>
                <w:sz w:val="24"/>
                <w:szCs w:val="24"/>
                <w:lang w:val="ro-RO" w:eastAsia="en-US"/>
              </w:rPr>
            </w:pPr>
            <w:r>
              <w:rPr>
                <w:bCs w:val="0"/>
                <w:sz w:val="24"/>
                <w:szCs w:val="24"/>
                <w:lang w:val="ro-RO" w:eastAsia="en-US"/>
              </w:rPr>
              <w:t>I.  CAPACITATEA INSTITUŢIONALĂ</w:t>
            </w:r>
          </w:p>
        </w:tc>
        <w:tc>
          <w:tcPr>
            <w:tcW w:w="6687" w:type="dxa"/>
            <w:shd w:val="pct15" w:color="000000" w:fill="FFFFFF"/>
          </w:tcPr>
          <w:p w:rsidR="00B73BBC" w:rsidRPr="00712DE3" w:rsidRDefault="00B73BBC" w:rsidP="00AF750B">
            <w:pPr>
              <w:pStyle w:val="Heading6"/>
              <w:jc w:val="center"/>
              <w:rPr>
                <w:sz w:val="24"/>
                <w:szCs w:val="24"/>
                <w:lang w:val="ro-RO" w:eastAsia="en-US"/>
              </w:rPr>
            </w:pPr>
            <w:r w:rsidRPr="00DD215D">
              <w:rPr>
                <w:i/>
                <w:sz w:val="24"/>
                <w:szCs w:val="24"/>
                <w:lang w:val="fr-FR" w:eastAsia="en-US"/>
              </w:rPr>
              <w:t>CONSTATĂRI</w:t>
            </w:r>
            <w:r w:rsidRPr="00712DE3">
              <w:rPr>
                <w:sz w:val="24"/>
                <w:szCs w:val="24"/>
                <w:lang w:val="fr-FR" w:eastAsia="en-US"/>
              </w:rPr>
              <w:t xml:space="preserve"> </w:t>
            </w:r>
          </w:p>
        </w:tc>
      </w:tr>
      <w:tr w:rsidR="00B73BBC" w:rsidRPr="00767259" w:rsidTr="00B73BBC">
        <w:trPr>
          <w:trHeight w:val="525"/>
        </w:trPr>
        <w:tc>
          <w:tcPr>
            <w:tcW w:w="7488" w:type="dxa"/>
            <w:vAlign w:val="center"/>
          </w:tcPr>
          <w:p w:rsidR="00B73BBC" w:rsidRPr="007633BD" w:rsidRDefault="00B73BBC" w:rsidP="00AF750B">
            <w:pPr>
              <w:pStyle w:val="Heading2"/>
              <w:jc w:val="left"/>
              <w:rPr>
                <w:i/>
                <w:lang w:val="ro-RO" w:eastAsia="en-US"/>
              </w:rPr>
            </w:pPr>
            <w:r w:rsidRPr="007633BD">
              <w:rPr>
                <w:bCs w:val="0"/>
                <w:i/>
                <w:lang w:val="ro-RO" w:eastAsia="en-US"/>
              </w:rPr>
              <w:t>CRITERIUL A.1.:  STRUCTURILE INSTITUŢIONALE, ADMINISTRATIVE ŞI MANAGERIALE</w:t>
            </w:r>
          </w:p>
        </w:tc>
        <w:tc>
          <w:tcPr>
            <w:tcW w:w="6687" w:type="dxa"/>
            <w:vAlign w:val="center"/>
          </w:tcPr>
          <w:p w:rsidR="00B73BBC" w:rsidRPr="007633BD" w:rsidRDefault="00B73BBC" w:rsidP="00AF750B">
            <w:pPr>
              <w:pStyle w:val="Heading2"/>
              <w:jc w:val="center"/>
              <w:rPr>
                <w:i/>
                <w:lang w:val="ro-RO" w:eastAsia="en-US"/>
              </w:rPr>
            </w:pPr>
          </w:p>
        </w:tc>
      </w:tr>
      <w:tr w:rsidR="00B73BBC" w:rsidTr="00B73BBC">
        <w:tc>
          <w:tcPr>
            <w:tcW w:w="7488" w:type="dxa"/>
            <w:vAlign w:val="center"/>
          </w:tcPr>
          <w:p w:rsidR="00B73BBC" w:rsidRDefault="00B73BBC" w:rsidP="00AF750B">
            <w:pPr>
              <w:jc w:val="both"/>
              <w:rPr>
                <w:i/>
                <w:lang w:val="ro-RO"/>
              </w:rPr>
            </w:pPr>
            <w:r>
              <w:rPr>
                <w:i/>
                <w:lang w:val="ro-RO"/>
              </w:rPr>
              <w:t>Standarde: Misiune, obiective şi integritate academică</w:t>
            </w:r>
          </w:p>
        </w:tc>
        <w:tc>
          <w:tcPr>
            <w:tcW w:w="6687" w:type="dxa"/>
            <w:vAlign w:val="center"/>
          </w:tcPr>
          <w:p w:rsidR="00B73BBC" w:rsidRDefault="00B73BBC" w:rsidP="00AF750B">
            <w:pPr>
              <w:rPr>
                <w:lang w:val="ro-RO"/>
              </w:rPr>
            </w:pPr>
          </w:p>
        </w:tc>
      </w:tr>
      <w:tr w:rsidR="00B73BBC" w:rsidRPr="00DF5346" w:rsidTr="00B73BBC">
        <w:trPr>
          <w:trHeight w:val="403"/>
        </w:trPr>
        <w:tc>
          <w:tcPr>
            <w:tcW w:w="7488" w:type="dxa"/>
            <w:vAlign w:val="center"/>
          </w:tcPr>
          <w:p w:rsidR="00B73BBC" w:rsidRPr="00B82130" w:rsidRDefault="00B73BBC" w:rsidP="00AF750B">
            <w:pPr>
              <w:jc w:val="both"/>
              <w:rPr>
                <w:bCs/>
                <w:i/>
                <w:lang w:val="ro-RO"/>
              </w:rPr>
            </w:pPr>
            <w:r w:rsidRPr="00B82130">
              <w:rPr>
                <w:bCs/>
                <w:i/>
                <w:lang w:val="ro-RO"/>
              </w:rPr>
              <w:t>1. Instituţia de învăţământ superior are un cod al eticii şi integrităţii academice prin care apără valorile libertăţii academice, ale autonomiei universitare şi ale integrităţii etice şi dispune de practici şi mecanisme clare pentru aplicarea codului.</w:t>
            </w:r>
          </w:p>
        </w:tc>
        <w:tc>
          <w:tcPr>
            <w:tcW w:w="6687" w:type="dxa"/>
            <w:vAlign w:val="center"/>
          </w:tcPr>
          <w:p w:rsidR="00B73BBC" w:rsidRPr="00F03104" w:rsidRDefault="00B73BBC" w:rsidP="00E258AC">
            <w:pPr>
              <w:jc w:val="both"/>
              <w:rPr>
                <w:lang w:val="ro-RO"/>
              </w:rPr>
            </w:pPr>
          </w:p>
        </w:tc>
      </w:tr>
      <w:tr w:rsidR="00B73BBC" w:rsidRPr="00985E74" w:rsidTr="00B73BBC">
        <w:trPr>
          <w:trHeight w:val="526"/>
        </w:trPr>
        <w:tc>
          <w:tcPr>
            <w:tcW w:w="7488" w:type="dxa"/>
            <w:vAlign w:val="center"/>
          </w:tcPr>
          <w:p w:rsidR="00B73BBC" w:rsidRPr="00B82130" w:rsidRDefault="00B73BBC" w:rsidP="00AF750B">
            <w:pPr>
              <w:jc w:val="both"/>
              <w:rPr>
                <w:bCs/>
                <w:lang w:val="ro-RO"/>
              </w:rPr>
            </w:pPr>
            <w:r w:rsidRPr="00B82130">
              <w:rPr>
                <w:bCs/>
                <w:i/>
                <w:lang w:val="ro-RO"/>
              </w:rPr>
              <w:t>2.</w:t>
            </w:r>
            <w:r w:rsidRPr="00B82130">
              <w:rPr>
                <w:bCs/>
                <w:lang w:val="ro-RO"/>
              </w:rPr>
              <w:t xml:space="preserve"> </w:t>
            </w:r>
            <w:r w:rsidRPr="00B82130">
              <w:rPr>
                <w:bCs/>
                <w:i/>
                <w:lang w:val="ro-RO"/>
              </w:rPr>
              <w:t>Instituţia de învăţământ superior dispune de practici de auditare internă cu privire la principalele domenii ale activităţii universitare, pentru a se asigura că angajamentele pe care şi le-a asumat sunt respectate riguros, în condiţii de transparenţă publică.</w:t>
            </w:r>
          </w:p>
        </w:tc>
        <w:tc>
          <w:tcPr>
            <w:tcW w:w="6687" w:type="dxa"/>
            <w:vAlign w:val="center"/>
          </w:tcPr>
          <w:p w:rsidR="00B73BBC" w:rsidRPr="00C94EAC" w:rsidRDefault="00B73BBC" w:rsidP="00E258AC">
            <w:pPr>
              <w:jc w:val="both"/>
              <w:rPr>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cantSplit/>
        </w:trPr>
        <w:tc>
          <w:tcPr>
            <w:tcW w:w="7488" w:type="dxa"/>
            <w:tcBorders>
              <w:left w:val="single" w:sz="4" w:space="0" w:color="auto"/>
            </w:tcBorders>
            <w:shd w:val="pct15" w:color="000000" w:fill="FFFFFF"/>
          </w:tcPr>
          <w:p w:rsidR="00B73BBC" w:rsidRDefault="00B73BBC" w:rsidP="00AF750B">
            <w:pPr>
              <w:pStyle w:val="Heading6"/>
              <w:ind w:left="855" w:hanging="855"/>
              <w:rPr>
                <w:sz w:val="24"/>
                <w:szCs w:val="24"/>
                <w:lang w:val="ro-RO" w:eastAsia="en-US"/>
              </w:rPr>
            </w:pPr>
            <w:r>
              <w:rPr>
                <w:bCs w:val="0"/>
                <w:sz w:val="24"/>
                <w:szCs w:val="24"/>
                <w:lang w:val="ro-RO" w:eastAsia="en-US"/>
              </w:rPr>
              <w:t>II. EFICACITATE EDUCAŢIONALĂ</w:t>
            </w:r>
          </w:p>
        </w:tc>
        <w:tc>
          <w:tcPr>
            <w:tcW w:w="6687" w:type="dxa"/>
            <w:tcBorders>
              <w:right w:val="single" w:sz="4" w:space="0" w:color="auto"/>
            </w:tcBorders>
            <w:shd w:val="pct15" w:color="000000" w:fill="FFFFFF"/>
          </w:tcPr>
          <w:p w:rsidR="00B73BBC" w:rsidRPr="00DD215D" w:rsidRDefault="00B73BBC" w:rsidP="00AF750B">
            <w:pPr>
              <w:pStyle w:val="Heading6"/>
              <w:ind w:left="855" w:hanging="855"/>
              <w:jc w:val="center"/>
              <w:rPr>
                <w:i/>
                <w:sz w:val="24"/>
                <w:szCs w:val="24"/>
                <w:lang w:val="ro-RO" w:eastAsia="en-US"/>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Default="00B73BBC" w:rsidP="00AF750B">
            <w:pPr>
              <w:rPr>
                <w:b/>
                <w:i/>
                <w:lang w:val="ro-RO"/>
              </w:rPr>
            </w:pPr>
            <w:r>
              <w:rPr>
                <w:b/>
                <w:bCs/>
                <w:i/>
                <w:lang w:val="ro-RO"/>
              </w:rPr>
              <w:t>CRITERIUL B.1.: CONŢINUTUL PROGRAMELOR DE STUDIU</w:t>
            </w:r>
          </w:p>
        </w:tc>
        <w:tc>
          <w:tcPr>
            <w:tcW w:w="6687" w:type="dxa"/>
            <w:tcBorders>
              <w:right w:val="single" w:sz="4" w:space="0" w:color="auto"/>
            </w:tcBorders>
            <w:vAlign w:val="center"/>
          </w:tcPr>
          <w:p w:rsidR="00B73BBC" w:rsidRDefault="00B73BBC" w:rsidP="00AF750B">
            <w:pPr>
              <w:jc w:val="center"/>
              <w:rPr>
                <w:b/>
                <w:i/>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c>
          <w:tcPr>
            <w:tcW w:w="7488" w:type="dxa"/>
            <w:tcBorders>
              <w:left w:val="single" w:sz="4" w:space="0" w:color="auto"/>
            </w:tcBorders>
            <w:vAlign w:val="center"/>
          </w:tcPr>
          <w:p w:rsidR="00B73BBC" w:rsidRDefault="00B73BBC" w:rsidP="00AF750B">
            <w:pPr>
              <w:spacing w:line="360" w:lineRule="auto"/>
              <w:jc w:val="both"/>
              <w:rPr>
                <w:i/>
                <w:lang w:val="ro-RO"/>
              </w:rPr>
            </w:pPr>
            <w:r>
              <w:rPr>
                <w:i/>
                <w:lang w:val="ro-RO"/>
              </w:rPr>
              <w:t>Standarde: Admiterea studenţilor</w:t>
            </w:r>
          </w:p>
        </w:tc>
        <w:tc>
          <w:tcPr>
            <w:tcW w:w="6687" w:type="dxa"/>
            <w:tcBorders>
              <w:right w:val="single" w:sz="4" w:space="0" w:color="auto"/>
            </w:tcBorders>
            <w:vAlign w:val="center"/>
          </w:tcPr>
          <w:p w:rsidR="00B73BBC" w:rsidRDefault="00B73BBC" w:rsidP="00AF750B">
            <w:pPr>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711"/>
        </w:trPr>
        <w:tc>
          <w:tcPr>
            <w:tcW w:w="7488" w:type="dxa"/>
            <w:tcBorders>
              <w:left w:val="single" w:sz="4" w:space="0" w:color="auto"/>
            </w:tcBorders>
            <w:vAlign w:val="center"/>
          </w:tcPr>
          <w:p w:rsidR="00B73BBC" w:rsidRDefault="00B73BBC" w:rsidP="00AF750B">
            <w:pPr>
              <w:jc w:val="both"/>
              <w:rPr>
                <w:i/>
                <w:lang w:val="ro-RO"/>
              </w:rPr>
            </w:pPr>
            <w:r>
              <w:rPr>
                <w:bCs/>
                <w:i/>
                <w:lang w:val="ro-RO"/>
              </w:rPr>
              <w:t>1. Instituţia aplică o politică transparentă a recrutării şi admiterii studenţilor, anunţată public cu cel puţin 6 luni înainte de aplicare.</w:t>
            </w:r>
            <w:r>
              <w:rPr>
                <w:i/>
                <w:lang w:val="ro-RO"/>
              </w:rPr>
              <w:t xml:space="preserve"> </w:t>
            </w:r>
            <w:r>
              <w:rPr>
                <w:bCs/>
                <w:i/>
                <w:lang w:val="ro-RO"/>
              </w:rPr>
              <w:t>Admiterea se bazează exclusiv pe competenţele academice ale candidatului şi nu aplică niciun fel de criterii discriminatorii.</w:t>
            </w:r>
          </w:p>
        </w:tc>
        <w:tc>
          <w:tcPr>
            <w:tcW w:w="6687" w:type="dxa"/>
            <w:tcBorders>
              <w:right w:val="single" w:sz="4" w:space="0" w:color="auto"/>
            </w:tcBorders>
            <w:vAlign w:val="center"/>
          </w:tcPr>
          <w:p w:rsidR="00B73BBC" w:rsidRPr="00F03104" w:rsidRDefault="00B73BBC" w:rsidP="00E258AC">
            <w:pPr>
              <w:jc w:val="both"/>
              <w:rPr>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Default="00B73BBC" w:rsidP="00AF750B">
            <w:pPr>
              <w:jc w:val="both"/>
              <w:rPr>
                <w:i/>
                <w:lang w:val="ro-RO"/>
              </w:rPr>
            </w:pPr>
            <w:r>
              <w:rPr>
                <w:i/>
                <w:lang w:val="ro-RO"/>
              </w:rPr>
              <w:t>Standarde: Structura şi prezentarea programelor  de studiu</w:t>
            </w:r>
          </w:p>
        </w:tc>
        <w:tc>
          <w:tcPr>
            <w:tcW w:w="6687" w:type="dxa"/>
            <w:tcBorders>
              <w:right w:val="single" w:sz="4" w:space="0" w:color="auto"/>
            </w:tcBorders>
            <w:vAlign w:val="center"/>
          </w:tcPr>
          <w:p w:rsidR="00B73BBC" w:rsidRDefault="00B73BBC" w:rsidP="00AF750B">
            <w:pPr>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Pr="00B82130" w:rsidRDefault="00B73BBC" w:rsidP="00AF750B">
            <w:pPr>
              <w:jc w:val="both"/>
              <w:rPr>
                <w:bCs/>
                <w:i/>
                <w:lang w:val="ro-RO"/>
              </w:rPr>
            </w:pPr>
            <w:r w:rsidRPr="00B82130">
              <w:rPr>
                <w:bCs/>
                <w:i/>
                <w:lang w:val="ro-RO"/>
              </w:rPr>
              <w:t>1. Un program de studiu este prezentat sub forma unui pachet de documente care include:</w:t>
            </w:r>
            <w:r>
              <w:rPr>
                <w:bCs/>
                <w:i/>
                <w:lang w:val="ro-RO"/>
              </w:rPr>
              <w:t xml:space="preserve"> </w:t>
            </w:r>
            <w:r w:rsidRPr="00B82130">
              <w:rPr>
                <w:bCs/>
                <w:i/>
                <w:lang w:val="ro-RO"/>
              </w:rPr>
              <w:t>misiunea, obiectivele generale şi specifice ale programului, planul de învăţământ, fişele disciplinelor, competenţele scontate ale absolvenţilor.</w:t>
            </w:r>
          </w:p>
        </w:tc>
        <w:tc>
          <w:tcPr>
            <w:tcW w:w="6687" w:type="dxa"/>
            <w:tcBorders>
              <w:right w:val="single" w:sz="4" w:space="0" w:color="auto"/>
            </w:tcBorders>
            <w:vAlign w:val="center"/>
          </w:tcPr>
          <w:p w:rsidR="00B73BBC" w:rsidRPr="00F03104"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Pr="00B82130" w:rsidRDefault="00B73BBC" w:rsidP="00AF750B">
            <w:pPr>
              <w:jc w:val="both"/>
              <w:rPr>
                <w:bCs/>
                <w:i/>
                <w:lang w:val="ro-RO"/>
              </w:rPr>
            </w:pPr>
            <w:r w:rsidRPr="00B82130">
              <w:rPr>
                <w:bCs/>
                <w:i/>
                <w:lang w:val="ro-RO"/>
              </w:rPr>
              <w:lastRenderedPageBreak/>
              <w:t>2. Fişele disciplinelor de învăţământ  precizează rezultatele în învăţare exprimate sub forma competenţelor cognitive, tehnice sau profesionale şi afectiv-valorice care sunt realizate de fiecare disciplină.</w:t>
            </w:r>
          </w:p>
        </w:tc>
        <w:tc>
          <w:tcPr>
            <w:tcW w:w="6687" w:type="dxa"/>
            <w:tcBorders>
              <w:right w:val="single" w:sz="4" w:space="0" w:color="auto"/>
            </w:tcBorders>
            <w:vAlign w:val="center"/>
          </w:tcPr>
          <w:p w:rsidR="00B73BBC" w:rsidRPr="00C94EAC"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Pr="00B82130" w:rsidRDefault="00B73BBC" w:rsidP="00AF750B">
            <w:pPr>
              <w:jc w:val="both"/>
              <w:rPr>
                <w:bCs/>
                <w:i/>
                <w:lang w:val="ro-RO"/>
              </w:rPr>
            </w:pPr>
            <w:r w:rsidRPr="00B82130">
              <w:rPr>
                <w:bCs/>
                <w:i/>
                <w:lang w:val="ro-RO"/>
              </w:rPr>
              <w:t>3. Modul de examinare şi evaluare la fiecare disciplină este realizat ţinând cont de rezultatele în învăţare/competenţele programate.</w:t>
            </w:r>
          </w:p>
        </w:tc>
        <w:tc>
          <w:tcPr>
            <w:tcW w:w="6687" w:type="dxa"/>
            <w:tcBorders>
              <w:right w:val="single" w:sz="4" w:space="0" w:color="auto"/>
            </w:tcBorders>
            <w:vAlign w:val="center"/>
          </w:tcPr>
          <w:p w:rsidR="00B73BBC" w:rsidRPr="00F03104"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Default="00B73BBC" w:rsidP="00AF750B">
            <w:pPr>
              <w:jc w:val="both"/>
              <w:rPr>
                <w:bCs/>
                <w:i/>
                <w:lang w:val="ro-RO"/>
              </w:rPr>
            </w:pPr>
            <w:r>
              <w:rPr>
                <w:bCs/>
                <w:i/>
                <w:lang w:val="ro-RO"/>
              </w:rPr>
              <w:t>4.  Modul de organizare şi conţinutul examenului de finalizare a studiilor se bazează pe un examen sumativ, care certifică asimilarea competenţelor cognitive şi profesionale conform calificării universitare.</w:t>
            </w:r>
          </w:p>
        </w:tc>
        <w:tc>
          <w:tcPr>
            <w:tcW w:w="6687" w:type="dxa"/>
            <w:tcBorders>
              <w:right w:val="single" w:sz="4" w:space="0" w:color="auto"/>
            </w:tcBorders>
            <w:vAlign w:val="center"/>
          </w:tcPr>
          <w:p w:rsidR="00B73BBC" w:rsidRPr="00F03104"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Default="00B73BBC" w:rsidP="00AF750B">
            <w:pPr>
              <w:jc w:val="both"/>
              <w:rPr>
                <w:i/>
                <w:lang w:val="ro-RO"/>
              </w:rPr>
            </w:pPr>
            <w:r>
              <w:rPr>
                <w:bCs/>
                <w:i/>
                <w:lang w:val="ro-RO"/>
              </w:rPr>
              <w:t xml:space="preserve">5.  </w:t>
            </w:r>
            <w:r w:rsidRPr="00B82130">
              <w:rPr>
                <w:bCs/>
                <w:i/>
                <w:lang w:val="ro-RO"/>
              </w:rPr>
              <w:t>Programele de studiu sunt unitare ca structură, indiferent de forma de învăţământ, dar se diferenţiază în realizare, în funcţie de mijloacele specifice</w:t>
            </w:r>
            <w:r>
              <w:rPr>
                <w:bCs/>
                <w:i/>
                <w:lang w:val="ro-RO"/>
              </w:rPr>
              <w:t xml:space="preserve"> utilizate în forma de învăţământ respectivă.</w:t>
            </w:r>
          </w:p>
        </w:tc>
        <w:tc>
          <w:tcPr>
            <w:tcW w:w="6687" w:type="dxa"/>
            <w:tcBorders>
              <w:right w:val="single" w:sz="4" w:space="0" w:color="auto"/>
            </w:tcBorders>
            <w:vAlign w:val="center"/>
          </w:tcPr>
          <w:p w:rsidR="00B73BBC" w:rsidRPr="00F03104" w:rsidRDefault="00B73BBC" w:rsidP="00E258AC">
            <w:pPr>
              <w:jc w:val="both"/>
              <w:rPr>
                <w:color w:val="0000FF"/>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Default="00B73BBC" w:rsidP="00AF750B">
            <w:pPr>
              <w:jc w:val="both"/>
              <w:rPr>
                <w:bCs/>
                <w:i/>
                <w:lang w:val="ro-RO"/>
              </w:rPr>
            </w:pPr>
            <w:r>
              <w:rPr>
                <w:bCs/>
                <w:i/>
                <w:lang w:val="ro-RO"/>
              </w:rPr>
              <w:t>6. Relevanţa cognitivă şi profesională a programelor de studiu este definită în funcţie de ritmul dezvoltării cunoaşterii şi tehnologiei din domeniu şi de cerinţele pieţei muncii şi ale calificărilor.</w:t>
            </w:r>
          </w:p>
        </w:tc>
        <w:tc>
          <w:tcPr>
            <w:tcW w:w="6687" w:type="dxa"/>
            <w:tcBorders>
              <w:right w:val="single" w:sz="4" w:space="0" w:color="auto"/>
            </w:tcBorders>
            <w:vAlign w:val="center"/>
          </w:tcPr>
          <w:p w:rsidR="00B73BBC" w:rsidRPr="00F03104" w:rsidRDefault="00B73BBC" w:rsidP="00E258AC">
            <w:pPr>
              <w:jc w:val="both"/>
              <w:rPr>
                <w:color w:val="0000FF"/>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Default="00B73BBC" w:rsidP="00AF750B">
            <w:pPr>
              <w:jc w:val="both"/>
              <w:rPr>
                <w:i/>
                <w:lang w:val="ro-RO"/>
              </w:rPr>
            </w:pPr>
            <w:r>
              <w:rPr>
                <w:bCs/>
                <w:i/>
                <w:lang w:val="ro-RO"/>
              </w:rPr>
              <w:t>7. Facultatea dispune de mecanisme pentru analiza colegială anuală a activităţii cunoaşterii transmise şi asimilate de studenţi şi pentru analiza schimbărilor care se produc în profilurile calificărilor şi în impactul acestora asupra organizării programului de studiu.</w:t>
            </w:r>
          </w:p>
        </w:tc>
        <w:tc>
          <w:tcPr>
            <w:tcW w:w="6687" w:type="dxa"/>
            <w:tcBorders>
              <w:right w:val="single" w:sz="4" w:space="0" w:color="auto"/>
            </w:tcBorders>
            <w:vAlign w:val="center"/>
          </w:tcPr>
          <w:p w:rsidR="00B73BBC" w:rsidRPr="00F03104" w:rsidRDefault="00B73BBC" w:rsidP="006B1A78">
            <w:pPr>
              <w:jc w:val="both"/>
              <w:rPr>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Default="00B73BBC" w:rsidP="00AF750B">
            <w:pPr>
              <w:jc w:val="both"/>
              <w:rPr>
                <w:b/>
                <w:bCs/>
                <w:i/>
                <w:lang w:val="ro-RO"/>
              </w:rPr>
            </w:pPr>
            <w:r>
              <w:rPr>
                <w:b/>
                <w:bCs/>
                <w:i/>
                <w:lang w:val="ro-RO"/>
              </w:rPr>
              <w:t>CRITERIUL B.2.: REZULTATELE ÎNVĂŢĂRII</w:t>
            </w:r>
          </w:p>
        </w:tc>
        <w:tc>
          <w:tcPr>
            <w:tcW w:w="6687" w:type="dxa"/>
            <w:tcBorders>
              <w:right w:val="single" w:sz="4" w:space="0" w:color="auto"/>
            </w:tcBorders>
            <w:vAlign w:val="center"/>
          </w:tcPr>
          <w:p w:rsidR="00B73BBC" w:rsidRDefault="00B73BBC" w:rsidP="00AF750B">
            <w:pPr>
              <w:jc w:val="center"/>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c>
          <w:tcPr>
            <w:tcW w:w="7488" w:type="dxa"/>
            <w:tcBorders>
              <w:left w:val="single" w:sz="4" w:space="0" w:color="auto"/>
            </w:tcBorders>
            <w:vAlign w:val="center"/>
          </w:tcPr>
          <w:p w:rsidR="00B73BBC" w:rsidRDefault="00B73BBC" w:rsidP="00AF750B">
            <w:pPr>
              <w:spacing w:line="360" w:lineRule="auto"/>
              <w:jc w:val="both"/>
              <w:rPr>
                <w:bCs/>
                <w:i/>
                <w:lang w:val="ro-RO"/>
              </w:rPr>
            </w:pPr>
            <w:r>
              <w:rPr>
                <w:i/>
                <w:lang w:val="ro-RO"/>
              </w:rPr>
              <w:t>Standarde: Valorificarea calificării universitare obţinute</w:t>
            </w:r>
          </w:p>
        </w:tc>
        <w:tc>
          <w:tcPr>
            <w:tcW w:w="6687" w:type="dxa"/>
            <w:tcBorders>
              <w:right w:val="single" w:sz="4" w:space="0" w:color="auto"/>
            </w:tcBorders>
            <w:vAlign w:val="center"/>
          </w:tcPr>
          <w:p w:rsidR="00B73BBC" w:rsidRDefault="00B73BBC" w:rsidP="00AF750B">
            <w:pPr>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c>
          <w:tcPr>
            <w:tcW w:w="7488" w:type="dxa"/>
            <w:tcBorders>
              <w:left w:val="single" w:sz="4" w:space="0" w:color="auto"/>
            </w:tcBorders>
            <w:vAlign w:val="center"/>
          </w:tcPr>
          <w:p w:rsidR="00B73BBC" w:rsidRDefault="00B73BBC" w:rsidP="00AF750B">
            <w:pPr>
              <w:jc w:val="both"/>
              <w:rPr>
                <w:bCs/>
                <w:i/>
                <w:lang w:val="ro-RO"/>
              </w:rPr>
            </w:pPr>
            <w:r>
              <w:rPr>
                <w:bCs/>
                <w:i/>
                <w:lang w:val="ro-RO"/>
              </w:rPr>
              <w:t xml:space="preserve">1. </w:t>
            </w:r>
            <w:r w:rsidRPr="00B82130">
              <w:rPr>
                <w:bCs/>
                <w:i/>
                <w:lang w:val="ro-RO"/>
              </w:rPr>
              <w:t xml:space="preserve">Cel puţin 40% dintre absolvenţi sunt angajaţi în termen de doi ani de la data absolvirii la nivelul calificării universitare şi </w:t>
            </w:r>
            <w:r w:rsidRPr="00B82130">
              <w:rPr>
                <w:i/>
                <w:lang w:val="ro-RO"/>
              </w:rPr>
              <w:t>sunt încadraţi cu contract de muncă legal pe posturi corespunzătoare specializării obţinute la absolvire</w:t>
            </w:r>
            <w:r w:rsidRPr="00B82130">
              <w:rPr>
                <w:bCs/>
                <w:i/>
                <w:lang w:val="ro-RO"/>
              </w:rPr>
              <w:t>.</w:t>
            </w:r>
          </w:p>
        </w:tc>
        <w:tc>
          <w:tcPr>
            <w:tcW w:w="6687" w:type="dxa"/>
            <w:tcBorders>
              <w:right w:val="single" w:sz="4" w:space="0" w:color="auto"/>
            </w:tcBorders>
            <w:vAlign w:val="center"/>
          </w:tcPr>
          <w:p w:rsidR="00B73BBC" w:rsidRPr="00F03104" w:rsidRDefault="00B73BBC" w:rsidP="00E258AC">
            <w:pPr>
              <w:pStyle w:val="Default"/>
              <w:jc w:val="both"/>
              <w:rPr>
                <w:color w:val="auto"/>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c>
          <w:tcPr>
            <w:tcW w:w="7488" w:type="dxa"/>
            <w:tcBorders>
              <w:left w:val="single" w:sz="4" w:space="0" w:color="auto"/>
            </w:tcBorders>
            <w:vAlign w:val="center"/>
          </w:tcPr>
          <w:p w:rsidR="00B73BBC" w:rsidRDefault="00B73BBC" w:rsidP="00AF750B">
            <w:pPr>
              <w:jc w:val="both"/>
              <w:rPr>
                <w:bCs/>
                <w:i/>
                <w:lang w:val="ro-RO"/>
              </w:rPr>
            </w:pPr>
            <w:r>
              <w:rPr>
                <w:bCs/>
                <w:i/>
                <w:lang w:val="ro-RO"/>
              </w:rPr>
              <w:t>2. Cel puţin 20% dintre absolvenţii ultimelor două promoţii ale studiilor universitare de licenţă sunt admişi la studii universitare de masterat, indiferent de domeniu.</w:t>
            </w:r>
          </w:p>
        </w:tc>
        <w:tc>
          <w:tcPr>
            <w:tcW w:w="6687" w:type="dxa"/>
            <w:tcBorders>
              <w:right w:val="single" w:sz="4" w:space="0" w:color="auto"/>
            </w:tcBorders>
            <w:vAlign w:val="center"/>
          </w:tcPr>
          <w:p w:rsidR="00B73BBC" w:rsidRPr="00F03104"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c>
          <w:tcPr>
            <w:tcW w:w="7488" w:type="dxa"/>
            <w:tcBorders>
              <w:left w:val="single" w:sz="4" w:space="0" w:color="auto"/>
            </w:tcBorders>
            <w:vAlign w:val="center"/>
          </w:tcPr>
          <w:p w:rsidR="00B73BBC" w:rsidRDefault="00B73BBC" w:rsidP="00AF750B">
            <w:pPr>
              <w:jc w:val="both"/>
              <w:rPr>
                <w:bCs/>
                <w:i/>
                <w:lang w:val="ro-RO"/>
              </w:rPr>
            </w:pPr>
            <w:r>
              <w:rPr>
                <w:bCs/>
                <w:i/>
                <w:lang w:val="ro-RO"/>
              </w:rPr>
              <w:t xml:space="preserve">3. Mai mult de 50% dintre studenţi apreciază pozitiv mediul de învăţare/dezvoltare oferit de către universitate şi propriul lor traseu de învăţare. </w:t>
            </w:r>
          </w:p>
        </w:tc>
        <w:tc>
          <w:tcPr>
            <w:tcW w:w="6687" w:type="dxa"/>
            <w:tcBorders>
              <w:right w:val="single" w:sz="4" w:space="0" w:color="auto"/>
            </w:tcBorders>
            <w:vAlign w:val="center"/>
          </w:tcPr>
          <w:p w:rsidR="00B73BBC" w:rsidRPr="00C94EAC"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Default="00B73BBC" w:rsidP="00AF750B">
            <w:pPr>
              <w:jc w:val="both"/>
              <w:rPr>
                <w:bCs/>
                <w:i/>
                <w:lang w:val="ro-RO"/>
              </w:rPr>
            </w:pPr>
            <w:r w:rsidRPr="00B82130">
              <w:rPr>
                <w:bCs/>
                <w:i/>
                <w:lang w:val="ro-RO"/>
              </w:rPr>
              <w:lastRenderedPageBreak/>
              <w:t>4. Principala responsabilitate a cadrului didactic este proiectarea metodelor şi a mediilor de învăţare centrate pe student, cu accent asupra responsabilităţii de a le forma competenţele generale şi specifice.</w:t>
            </w:r>
          </w:p>
        </w:tc>
        <w:tc>
          <w:tcPr>
            <w:tcW w:w="6687" w:type="dxa"/>
            <w:tcBorders>
              <w:right w:val="single" w:sz="4" w:space="0" w:color="auto"/>
            </w:tcBorders>
            <w:vAlign w:val="center"/>
          </w:tcPr>
          <w:p w:rsidR="00B73BBC" w:rsidRPr="00F03104"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Default="00B73BBC" w:rsidP="00AF750B">
            <w:pPr>
              <w:jc w:val="both"/>
              <w:rPr>
                <w:bCs/>
                <w:i/>
                <w:lang w:val="ro-RO"/>
              </w:rPr>
            </w:pPr>
            <w:r>
              <w:rPr>
                <w:bCs/>
                <w:i/>
                <w:lang w:val="ro-RO"/>
              </w:rPr>
              <w:t>5 Relaţia dintre student şi profesor este una de parteneriat, în care fiecare îşi asumă responsabilitatea atingerii rezultatelor învăţării. Rezultatele învăţării sunt explicate şi discutate cu studenţii din perspectiva relevanţei acestora pentru dezvoltarea lor.</w:t>
            </w:r>
          </w:p>
        </w:tc>
        <w:tc>
          <w:tcPr>
            <w:tcW w:w="6687" w:type="dxa"/>
            <w:tcBorders>
              <w:right w:val="single" w:sz="4" w:space="0" w:color="auto"/>
            </w:tcBorders>
            <w:vAlign w:val="center"/>
          </w:tcPr>
          <w:p w:rsidR="00B73BBC" w:rsidRPr="00C94EAC"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990"/>
        </w:trPr>
        <w:tc>
          <w:tcPr>
            <w:tcW w:w="7488" w:type="dxa"/>
            <w:tcBorders>
              <w:left w:val="single" w:sz="4" w:space="0" w:color="auto"/>
            </w:tcBorders>
            <w:vAlign w:val="center"/>
          </w:tcPr>
          <w:p w:rsidR="00B73BBC" w:rsidRDefault="00B73BBC" w:rsidP="00AF750B">
            <w:pPr>
              <w:jc w:val="both"/>
              <w:rPr>
                <w:bCs/>
                <w:i/>
                <w:lang w:val="ro-RO"/>
              </w:rPr>
            </w:pPr>
            <w:r>
              <w:rPr>
                <w:bCs/>
                <w:i/>
                <w:lang w:val="ro-RO"/>
              </w:rPr>
              <w:t xml:space="preserve">6. Cadrele didactice folosesc resursele noilor tehnologii (ex. e-mail, pagină personală de web pentru tematică, bibliografie, resurse în format electronic şi dialog cu studenţii) şi materiale auxiliare, de la tablă, la flipchart şi videoproiector. </w:t>
            </w:r>
          </w:p>
        </w:tc>
        <w:tc>
          <w:tcPr>
            <w:tcW w:w="6687" w:type="dxa"/>
            <w:tcBorders>
              <w:right w:val="single" w:sz="4" w:space="0" w:color="auto"/>
            </w:tcBorders>
            <w:vAlign w:val="center"/>
          </w:tcPr>
          <w:p w:rsidR="00B73BBC" w:rsidRPr="00F03104"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Default="00B73BBC" w:rsidP="00AF750B">
            <w:pPr>
              <w:jc w:val="both"/>
              <w:rPr>
                <w:bCs/>
                <w:i/>
                <w:lang w:val="ro-RO"/>
              </w:rPr>
            </w:pPr>
            <w:r>
              <w:rPr>
                <w:bCs/>
                <w:i/>
                <w:lang w:val="ro-RO"/>
              </w:rPr>
              <w:t>7. Cadrele didactice au ore de permanenţă la dispoziţia studenţilor şi personalizează îndrumarea la cererea studentului. Există îndrumători sau tutori de an sau alte forme de asociere între un cadru didactic şi un grup de studenţi.</w:t>
            </w:r>
          </w:p>
        </w:tc>
        <w:tc>
          <w:tcPr>
            <w:tcW w:w="6687" w:type="dxa"/>
            <w:tcBorders>
              <w:right w:val="single" w:sz="4" w:space="0" w:color="auto"/>
            </w:tcBorders>
            <w:vAlign w:val="center"/>
          </w:tcPr>
          <w:p w:rsidR="00B73BBC" w:rsidRPr="00F03104"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33"/>
        </w:trPr>
        <w:tc>
          <w:tcPr>
            <w:tcW w:w="7488" w:type="dxa"/>
            <w:tcBorders>
              <w:left w:val="single" w:sz="4" w:space="0" w:color="auto"/>
            </w:tcBorders>
            <w:vAlign w:val="center"/>
          </w:tcPr>
          <w:p w:rsidR="00B73BBC" w:rsidRPr="00B82130" w:rsidRDefault="00B73BBC" w:rsidP="00AF750B">
            <w:pPr>
              <w:rPr>
                <w:b/>
                <w:bCs/>
                <w:i/>
                <w:lang w:val="ro-RO"/>
              </w:rPr>
            </w:pPr>
            <w:r w:rsidRPr="00B82130">
              <w:rPr>
                <w:b/>
                <w:bCs/>
                <w:i/>
                <w:lang w:val="ro-RO"/>
              </w:rPr>
              <w:t>CRITERIUL B.3.: ACTIVITATEA DE CERCETARE ŞTIINŢIFICĂ</w:t>
            </w:r>
          </w:p>
        </w:tc>
        <w:tc>
          <w:tcPr>
            <w:tcW w:w="6687" w:type="dxa"/>
            <w:tcBorders>
              <w:right w:val="single" w:sz="4" w:space="0" w:color="auto"/>
            </w:tcBorders>
            <w:vAlign w:val="center"/>
          </w:tcPr>
          <w:p w:rsidR="00B73BBC" w:rsidRPr="00B82130" w:rsidRDefault="00B73BBC" w:rsidP="00AF750B">
            <w:pPr>
              <w:jc w:val="center"/>
              <w:rPr>
                <w:lang w:val="ro-RO"/>
              </w:rPr>
            </w:pPr>
          </w:p>
        </w:tc>
      </w:tr>
      <w:tr w:rsidR="00B73BBC" w:rsidRPr="00B82130" w:rsidTr="00B73BBC">
        <w:tblPrEx>
          <w:tblBorders>
            <w:top w:val="thickThinSmallGap" w:sz="12" w:space="0" w:color="auto"/>
            <w:left w:val="thickThinSmallGap" w:sz="12" w:space="0" w:color="auto"/>
            <w:bottom w:val="thinThickSmallGap" w:sz="12" w:space="0" w:color="auto"/>
            <w:right w:val="thinThickSmallGap" w:sz="12" w:space="0" w:color="auto"/>
          </w:tblBorders>
        </w:tblPrEx>
        <w:tc>
          <w:tcPr>
            <w:tcW w:w="7488" w:type="dxa"/>
            <w:tcBorders>
              <w:left w:val="single" w:sz="4" w:space="0" w:color="auto"/>
            </w:tcBorders>
            <w:vAlign w:val="center"/>
          </w:tcPr>
          <w:p w:rsidR="00B73BBC" w:rsidRPr="00B82130" w:rsidRDefault="00B73BBC" w:rsidP="00AF750B">
            <w:pPr>
              <w:spacing w:line="360" w:lineRule="auto"/>
              <w:jc w:val="both"/>
              <w:rPr>
                <w:bCs/>
                <w:i/>
                <w:lang w:val="ro-RO"/>
              </w:rPr>
            </w:pPr>
            <w:r w:rsidRPr="00B82130">
              <w:rPr>
                <w:i/>
                <w:lang w:val="ro-RO"/>
              </w:rPr>
              <w:t>Standarde: Programe de cercetare</w:t>
            </w:r>
          </w:p>
        </w:tc>
        <w:tc>
          <w:tcPr>
            <w:tcW w:w="6687" w:type="dxa"/>
            <w:tcBorders>
              <w:right w:val="single" w:sz="4" w:space="0" w:color="auto"/>
            </w:tcBorders>
            <w:vAlign w:val="center"/>
          </w:tcPr>
          <w:p w:rsidR="00B73BBC" w:rsidRPr="00B82130" w:rsidRDefault="00B73BBC" w:rsidP="00AF750B">
            <w:pPr>
              <w:rPr>
                <w:lang w:val="ro-RO"/>
              </w:rPr>
            </w:pPr>
          </w:p>
        </w:tc>
      </w:tr>
      <w:tr w:rsidR="00B73BBC" w:rsidRPr="00B82130"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0"/>
        </w:trPr>
        <w:tc>
          <w:tcPr>
            <w:tcW w:w="7488" w:type="dxa"/>
            <w:tcBorders>
              <w:left w:val="single" w:sz="4" w:space="0" w:color="auto"/>
            </w:tcBorders>
            <w:vAlign w:val="center"/>
          </w:tcPr>
          <w:p w:rsidR="00B73BBC" w:rsidRPr="00B82130" w:rsidRDefault="00B73BBC" w:rsidP="00AF750B">
            <w:pPr>
              <w:jc w:val="both"/>
              <w:rPr>
                <w:bCs/>
                <w:i/>
                <w:lang w:val="ro-RO"/>
              </w:rPr>
            </w:pPr>
            <w:r w:rsidRPr="00B82130">
              <w:rPr>
                <w:bCs/>
                <w:i/>
                <w:lang w:val="ro-RO"/>
              </w:rPr>
              <w:t>1. Strategia pe termen lung şi programele pe termen mediu şi scurt privind cercetarea sunt adoptate de Senat şi Consiliile facultăţilor, odată cu specificarea practicilor de obţinere şi de alocare ale resurselor de realizare şi a modalităţilor de valorificare.</w:t>
            </w:r>
          </w:p>
        </w:tc>
        <w:tc>
          <w:tcPr>
            <w:tcW w:w="6687" w:type="dxa"/>
            <w:tcBorders>
              <w:right w:val="single" w:sz="4" w:space="0" w:color="auto"/>
            </w:tcBorders>
            <w:vAlign w:val="center"/>
          </w:tcPr>
          <w:p w:rsidR="00B73BBC" w:rsidRPr="00C94EAC"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c>
          <w:tcPr>
            <w:tcW w:w="7488" w:type="dxa"/>
            <w:tcBorders>
              <w:left w:val="single" w:sz="4" w:space="0" w:color="auto"/>
            </w:tcBorders>
            <w:vAlign w:val="center"/>
          </w:tcPr>
          <w:p w:rsidR="00B73BBC" w:rsidRPr="00B82130" w:rsidRDefault="00B73BBC" w:rsidP="00AF750B">
            <w:pPr>
              <w:spacing w:line="360" w:lineRule="auto"/>
              <w:jc w:val="both"/>
              <w:rPr>
                <w:bCs/>
                <w:i/>
                <w:lang w:val="ro-RO"/>
              </w:rPr>
            </w:pPr>
            <w:r w:rsidRPr="00B82130">
              <w:rPr>
                <w:bCs/>
                <w:i/>
                <w:lang w:val="ro-RO"/>
              </w:rPr>
              <w:t>2. Cercetarea dispune de resurse financiare suficiente pentru a realiza obiectivele propuse.</w:t>
            </w:r>
          </w:p>
        </w:tc>
        <w:tc>
          <w:tcPr>
            <w:tcW w:w="6687" w:type="dxa"/>
            <w:tcBorders>
              <w:right w:val="single" w:sz="4" w:space="0" w:color="auto"/>
            </w:tcBorders>
            <w:vAlign w:val="center"/>
          </w:tcPr>
          <w:p w:rsidR="00B73BBC" w:rsidRPr="00F03104"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c>
          <w:tcPr>
            <w:tcW w:w="7488" w:type="dxa"/>
            <w:tcBorders>
              <w:left w:val="single" w:sz="4" w:space="0" w:color="auto"/>
            </w:tcBorders>
            <w:vAlign w:val="center"/>
          </w:tcPr>
          <w:p w:rsidR="00B73BBC" w:rsidRPr="00B82130" w:rsidRDefault="00B73BBC" w:rsidP="00AF750B">
            <w:pPr>
              <w:spacing w:line="360" w:lineRule="auto"/>
              <w:jc w:val="both"/>
              <w:rPr>
                <w:bCs/>
                <w:i/>
                <w:lang w:val="ro-RO"/>
              </w:rPr>
            </w:pPr>
            <w:r w:rsidRPr="00B82130">
              <w:rPr>
                <w:bCs/>
                <w:i/>
                <w:lang w:val="ro-RO"/>
              </w:rPr>
              <w:t>3. Cercetarea dispune de resurse logistice suficiente pentru a realiza obiectivele propuse.</w:t>
            </w:r>
          </w:p>
        </w:tc>
        <w:tc>
          <w:tcPr>
            <w:tcW w:w="6687" w:type="dxa"/>
            <w:tcBorders>
              <w:right w:val="single" w:sz="4" w:space="0" w:color="auto"/>
            </w:tcBorders>
            <w:vAlign w:val="center"/>
          </w:tcPr>
          <w:p w:rsidR="00B73BBC" w:rsidRPr="00C94EAC"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c>
          <w:tcPr>
            <w:tcW w:w="7488" w:type="dxa"/>
            <w:tcBorders>
              <w:left w:val="single" w:sz="4" w:space="0" w:color="auto"/>
            </w:tcBorders>
            <w:vAlign w:val="center"/>
          </w:tcPr>
          <w:p w:rsidR="00B73BBC" w:rsidRPr="00B82130" w:rsidRDefault="00B73BBC" w:rsidP="00AF750B">
            <w:pPr>
              <w:spacing w:line="360" w:lineRule="auto"/>
              <w:jc w:val="both"/>
              <w:rPr>
                <w:bCs/>
                <w:i/>
                <w:lang w:val="ro-RO"/>
              </w:rPr>
            </w:pPr>
            <w:r w:rsidRPr="00B82130">
              <w:rPr>
                <w:bCs/>
                <w:i/>
                <w:lang w:val="ro-RO"/>
              </w:rPr>
              <w:t>4. Cercetarea dispune de resurse umane suficiente pentru a realiza obiectivele propuse.</w:t>
            </w:r>
          </w:p>
        </w:tc>
        <w:tc>
          <w:tcPr>
            <w:tcW w:w="6687" w:type="dxa"/>
            <w:tcBorders>
              <w:right w:val="single" w:sz="4" w:space="0" w:color="auto"/>
            </w:tcBorders>
            <w:vAlign w:val="center"/>
          </w:tcPr>
          <w:p w:rsidR="00B73BBC" w:rsidRPr="00F03104" w:rsidRDefault="00B73BBC" w:rsidP="00E258AC">
            <w:pPr>
              <w:jc w:val="both"/>
              <w:rPr>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cantSplit/>
          <w:trHeight w:val="390"/>
          <w:tblHeader/>
        </w:trPr>
        <w:tc>
          <w:tcPr>
            <w:tcW w:w="7488" w:type="dxa"/>
            <w:tcBorders>
              <w:left w:val="single" w:sz="4" w:space="0" w:color="auto"/>
            </w:tcBorders>
            <w:shd w:val="pct15" w:color="000000" w:fill="FFFFFF"/>
            <w:vAlign w:val="center"/>
          </w:tcPr>
          <w:p w:rsidR="00B73BBC" w:rsidRDefault="00B73BBC" w:rsidP="00AF750B">
            <w:pPr>
              <w:pStyle w:val="Heading6"/>
              <w:ind w:left="855" w:hanging="855"/>
              <w:rPr>
                <w:bCs w:val="0"/>
                <w:sz w:val="24"/>
                <w:szCs w:val="24"/>
                <w:lang w:val="ro-RO" w:eastAsia="en-US"/>
              </w:rPr>
            </w:pPr>
            <w:r>
              <w:rPr>
                <w:bCs w:val="0"/>
                <w:sz w:val="24"/>
                <w:szCs w:val="24"/>
                <w:lang w:val="ro-RO" w:eastAsia="en-US"/>
              </w:rPr>
              <w:lastRenderedPageBreak/>
              <w:t>III. MANAGEMENTUL CALITĂŢII</w:t>
            </w:r>
          </w:p>
          <w:p w:rsidR="00B73BBC" w:rsidRPr="00DE1265" w:rsidRDefault="00B73BBC" w:rsidP="00AF750B">
            <w:pPr>
              <w:rPr>
                <w:sz w:val="20"/>
                <w:lang w:val="ro-RO"/>
              </w:rPr>
            </w:pPr>
          </w:p>
        </w:tc>
        <w:tc>
          <w:tcPr>
            <w:tcW w:w="6687" w:type="dxa"/>
            <w:tcBorders>
              <w:right w:val="single" w:sz="4" w:space="0" w:color="auto"/>
            </w:tcBorders>
            <w:shd w:val="pct15" w:color="000000" w:fill="FFFFFF"/>
            <w:vAlign w:val="center"/>
          </w:tcPr>
          <w:p w:rsidR="00B73BBC" w:rsidRPr="00897935" w:rsidRDefault="00B73BBC" w:rsidP="00AF750B">
            <w:pPr>
              <w:pStyle w:val="Heading6"/>
              <w:ind w:left="855" w:hanging="855"/>
              <w:jc w:val="center"/>
              <w:rPr>
                <w:i/>
                <w:sz w:val="24"/>
                <w:szCs w:val="24"/>
                <w:lang w:val="ro-RO" w:eastAsia="en-US"/>
              </w:rPr>
            </w:pPr>
          </w:p>
        </w:tc>
      </w:tr>
      <w:tr w:rsidR="00B73BBC" w:rsidRPr="00767259"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01"/>
          <w:tblHeader/>
        </w:trPr>
        <w:tc>
          <w:tcPr>
            <w:tcW w:w="7488" w:type="dxa"/>
            <w:tcBorders>
              <w:left w:val="single" w:sz="4" w:space="0" w:color="auto"/>
            </w:tcBorders>
            <w:vAlign w:val="center"/>
          </w:tcPr>
          <w:p w:rsidR="00B73BBC" w:rsidRPr="00B82130" w:rsidRDefault="00B73BBC" w:rsidP="00AF750B">
            <w:pPr>
              <w:spacing w:before="120" w:after="120"/>
              <w:rPr>
                <w:b/>
                <w:bCs/>
                <w:i/>
                <w:lang w:val="ro-RO"/>
              </w:rPr>
            </w:pPr>
            <w:r>
              <w:rPr>
                <w:b/>
                <w:bCs/>
                <w:i/>
                <w:lang w:val="ro-RO"/>
              </w:rPr>
              <w:t>CRITERIUL C.2.: PROCEDURI PRIVIND INIŢIEREA, MONITORIZAREA ŞI REVIZUIREA PERIODICĂ A PROGRAMELOR ŞI ACTIVITĂŢILOR DESFĂŞURATE</w:t>
            </w:r>
          </w:p>
        </w:tc>
        <w:tc>
          <w:tcPr>
            <w:tcW w:w="6687" w:type="dxa"/>
            <w:tcBorders>
              <w:right w:val="single" w:sz="4" w:space="0" w:color="auto"/>
            </w:tcBorders>
            <w:vAlign w:val="center"/>
          </w:tcPr>
          <w:p w:rsidR="00B73BBC" w:rsidRDefault="00B73BBC" w:rsidP="00AF750B">
            <w:pPr>
              <w:jc w:val="center"/>
              <w:rPr>
                <w:b/>
                <w:i/>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Default="00B73BBC" w:rsidP="00AF750B">
            <w:pPr>
              <w:jc w:val="both"/>
              <w:rPr>
                <w:i/>
                <w:lang w:val="ro-RO"/>
              </w:rPr>
            </w:pPr>
            <w:r>
              <w:rPr>
                <w:i/>
                <w:lang w:val="ro-RO"/>
              </w:rPr>
              <w:t>Standarde: Aprobarea, monitorizarea şi evaluarea periodică a programelor de studiu şi diplomelor ce corespund calificărilor</w:t>
            </w:r>
          </w:p>
        </w:tc>
        <w:tc>
          <w:tcPr>
            <w:tcW w:w="6687" w:type="dxa"/>
            <w:tcBorders>
              <w:right w:val="single" w:sz="4" w:space="0" w:color="auto"/>
            </w:tcBorders>
            <w:vAlign w:val="center"/>
          </w:tcPr>
          <w:p w:rsidR="00B73BBC" w:rsidRDefault="00B73BBC" w:rsidP="00AF750B">
            <w:pPr>
              <w:jc w:val="center"/>
              <w:rPr>
                <w:lang w:val="ro-RO"/>
              </w:rPr>
            </w:pPr>
          </w:p>
        </w:tc>
      </w:tr>
      <w:tr w:rsidR="00B73BBC" w:rsidRPr="006B1A78"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25"/>
          <w:tblHeader/>
        </w:trPr>
        <w:tc>
          <w:tcPr>
            <w:tcW w:w="7488" w:type="dxa"/>
            <w:tcBorders>
              <w:left w:val="single" w:sz="4" w:space="0" w:color="auto"/>
            </w:tcBorders>
            <w:vAlign w:val="center"/>
          </w:tcPr>
          <w:p w:rsidR="00B73BBC" w:rsidRDefault="00B73BBC" w:rsidP="00AF750B">
            <w:pPr>
              <w:jc w:val="both"/>
              <w:rPr>
                <w:bCs/>
                <w:i/>
                <w:lang w:val="ro-RO"/>
              </w:rPr>
            </w:pPr>
            <w:r>
              <w:rPr>
                <w:bCs/>
                <w:i/>
                <w:lang w:val="ro-RO"/>
              </w:rPr>
              <w:t>1. Există şi se aplică un regulament privitor la iniţierea, aprobarea, monitorizarea şi evaluarea periodică a programelor de studiu.</w:t>
            </w:r>
          </w:p>
        </w:tc>
        <w:tc>
          <w:tcPr>
            <w:tcW w:w="6687" w:type="dxa"/>
            <w:tcBorders>
              <w:right w:val="single" w:sz="4" w:space="0" w:color="auto"/>
            </w:tcBorders>
            <w:vAlign w:val="center"/>
          </w:tcPr>
          <w:p w:rsidR="00B73BBC" w:rsidRPr="00F03104" w:rsidRDefault="00B73BBC" w:rsidP="00E258AC">
            <w:pPr>
              <w:jc w:val="both"/>
              <w:rPr>
                <w:lang w:val="ro-RO"/>
              </w:rPr>
            </w:pPr>
          </w:p>
        </w:tc>
      </w:tr>
      <w:tr w:rsidR="00B73BBC" w:rsidRPr="00A03C8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25"/>
          <w:tblHeader/>
        </w:trPr>
        <w:tc>
          <w:tcPr>
            <w:tcW w:w="7488" w:type="dxa"/>
            <w:tcBorders>
              <w:left w:val="single" w:sz="4" w:space="0" w:color="auto"/>
            </w:tcBorders>
            <w:vAlign w:val="center"/>
          </w:tcPr>
          <w:p w:rsidR="00B73BBC" w:rsidRDefault="00B73BBC" w:rsidP="00AF750B">
            <w:pPr>
              <w:jc w:val="both"/>
              <w:rPr>
                <w:bCs/>
                <w:i/>
                <w:lang w:val="ro-RO"/>
              </w:rPr>
            </w:pPr>
            <w:r w:rsidRPr="00B82130">
              <w:rPr>
                <w:bCs/>
                <w:i/>
                <w:lang w:val="ro-RO"/>
              </w:rPr>
              <w:t>2. Programele de studiu sunt elaborate în funcţie de cerinţele calificării universitare, iar diplomele sunt emise în concordanţă cu prevederile legale.</w:t>
            </w:r>
          </w:p>
        </w:tc>
        <w:tc>
          <w:tcPr>
            <w:tcW w:w="6687" w:type="dxa"/>
            <w:tcBorders>
              <w:right w:val="single" w:sz="4" w:space="0" w:color="auto"/>
            </w:tcBorders>
            <w:vAlign w:val="center"/>
          </w:tcPr>
          <w:p w:rsidR="00B73BBC" w:rsidRPr="00C94EAC" w:rsidRDefault="00B73BBC" w:rsidP="00AF118B">
            <w:pPr>
              <w:jc w:val="both"/>
              <w:rPr>
                <w:color w:val="0000FF"/>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25"/>
          <w:tblHeader/>
        </w:trPr>
        <w:tc>
          <w:tcPr>
            <w:tcW w:w="7488" w:type="dxa"/>
            <w:tcBorders>
              <w:left w:val="single" w:sz="4" w:space="0" w:color="auto"/>
            </w:tcBorders>
            <w:vAlign w:val="center"/>
          </w:tcPr>
          <w:p w:rsidR="00B73BBC" w:rsidRPr="003B2459" w:rsidRDefault="00B73BBC" w:rsidP="00AF750B">
            <w:pPr>
              <w:spacing w:before="120" w:after="120"/>
              <w:jc w:val="both"/>
              <w:rPr>
                <w:b/>
                <w:bCs/>
                <w:i/>
                <w:lang w:val="ro-RO"/>
              </w:rPr>
            </w:pPr>
            <w:r>
              <w:rPr>
                <w:b/>
                <w:bCs/>
                <w:i/>
                <w:lang w:val="ro-RO"/>
              </w:rPr>
              <w:t>CRITERIUL C.3.: PROCEDURI OBIECTIVE ŞI TRANSPARENTE DE EVALUARE A REZULTATELOR ÎNVĂŢĂRII</w:t>
            </w:r>
          </w:p>
        </w:tc>
        <w:tc>
          <w:tcPr>
            <w:tcW w:w="6687" w:type="dxa"/>
            <w:tcBorders>
              <w:right w:val="single" w:sz="4" w:space="0" w:color="auto"/>
            </w:tcBorders>
            <w:vAlign w:val="center"/>
          </w:tcPr>
          <w:p w:rsidR="00B73BBC" w:rsidRDefault="00B73BBC" w:rsidP="00AF750B">
            <w:pPr>
              <w:jc w:val="center"/>
              <w:rPr>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Default="00B73BBC" w:rsidP="00AF750B">
            <w:pPr>
              <w:spacing w:line="360" w:lineRule="auto"/>
              <w:jc w:val="both"/>
              <w:rPr>
                <w:i/>
                <w:lang w:val="ro-RO"/>
              </w:rPr>
            </w:pPr>
            <w:r>
              <w:rPr>
                <w:i/>
                <w:lang w:val="ro-RO"/>
              </w:rPr>
              <w:t>Standarde: Evaluarea studenţilor</w:t>
            </w:r>
          </w:p>
        </w:tc>
        <w:tc>
          <w:tcPr>
            <w:tcW w:w="6687" w:type="dxa"/>
            <w:tcBorders>
              <w:right w:val="single" w:sz="4" w:space="0" w:color="auto"/>
            </w:tcBorders>
            <w:vAlign w:val="center"/>
          </w:tcPr>
          <w:p w:rsidR="00B73BBC" w:rsidRDefault="00B73BBC" w:rsidP="00AF750B">
            <w:pPr>
              <w:jc w:val="center"/>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25"/>
          <w:tblHeader/>
        </w:trPr>
        <w:tc>
          <w:tcPr>
            <w:tcW w:w="7488" w:type="dxa"/>
            <w:tcBorders>
              <w:left w:val="single" w:sz="4" w:space="0" w:color="auto"/>
            </w:tcBorders>
            <w:vAlign w:val="center"/>
          </w:tcPr>
          <w:p w:rsidR="00B73BBC" w:rsidRDefault="00B73BBC" w:rsidP="00AF750B">
            <w:pPr>
              <w:jc w:val="both"/>
              <w:rPr>
                <w:bCs/>
                <w:i/>
                <w:lang w:val="ro-RO"/>
              </w:rPr>
            </w:pPr>
            <w:r>
              <w:rPr>
                <w:bCs/>
                <w:i/>
                <w:lang w:val="ro-RO"/>
              </w:rPr>
              <w:t xml:space="preserve">1. Facultatea are un regulament privind examinarea şi notarea studenţilor, care este aplicat în mod riguros şi consecvent. La examinare participă, pe lângă titularul cursului, cel puţin încă un alt cadru didactic de specialitate. </w:t>
            </w:r>
          </w:p>
        </w:tc>
        <w:tc>
          <w:tcPr>
            <w:tcW w:w="6687" w:type="dxa"/>
            <w:tcBorders>
              <w:right w:val="single" w:sz="4" w:space="0" w:color="auto"/>
            </w:tcBorders>
            <w:vAlign w:val="center"/>
          </w:tcPr>
          <w:p w:rsidR="00B73BBC" w:rsidRPr="0061476F" w:rsidRDefault="00B73BBC" w:rsidP="00AF118B">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25"/>
          <w:tblHeader/>
        </w:trPr>
        <w:tc>
          <w:tcPr>
            <w:tcW w:w="7488" w:type="dxa"/>
            <w:tcBorders>
              <w:left w:val="single" w:sz="4" w:space="0" w:color="auto"/>
            </w:tcBorders>
            <w:vAlign w:val="center"/>
          </w:tcPr>
          <w:p w:rsidR="00B73BBC" w:rsidRDefault="00B73BBC" w:rsidP="00AF750B">
            <w:pPr>
              <w:jc w:val="both"/>
              <w:rPr>
                <w:bCs/>
                <w:i/>
                <w:lang w:val="ro-RO"/>
              </w:rPr>
            </w:pPr>
            <w:r>
              <w:rPr>
                <w:bCs/>
                <w:i/>
                <w:lang w:val="ro-RO"/>
              </w:rPr>
              <w:t>2. Fiecare curs este astfel proiectat încât să îmbine predarea, învăţarea şi examinarea. Procedeele de examinare şi evaluare a studenţilor sunt centrate pe rezultatele învăţării şi anunţate studenţilor din timp şi în detaliu.</w:t>
            </w:r>
          </w:p>
        </w:tc>
        <w:tc>
          <w:tcPr>
            <w:tcW w:w="6687" w:type="dxa"/>
            <w:tcBorders>
              <w:right w:val="single" w:sz="4" w:space="0" w:color="auto"/>
            </w:tcBorders>
            <w:vAlign w:val="center"/>
          </w:tcPr>
          <w:p w:rsidR="00B73BBC" w:rsidRPr="00763A28" w:rsidRDefault="00B73BBC" w:rsidP="00AF118B">
            <w:pPr>
              <w:jc w:val="both"/>
              <w:rPr>
                <w:color w:val="0000FF"/>
                <w:lang w:val="ro-RO"/>
              </w:rPr>
            </w:pPr>
          </w:p>
        </w:tc>
      </w:tr>
      <w:tr w:rsidR="00B73BBC" w:rsidRPr="00767259"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25"/>
          <w:tblHeader/>
        </w:trPr>
        <w:tc>
          <w:tcPr>
            <w:tcW w:w="7488" w:type="dxa"/>
            <w:tcBorders>
              <w:left w:val="single" w:sz="4" w:space="0" w:color="auto"/>
            </w:tcBorders>
            <w:vAlign w:val="center"/>
          </w:tcPr>
          <w:p w:rsidR="00B73BBC" w:rsidRPr="003B2459" w:rsidRDefault="00B73BBC" w:rsidP="00AF750B">
            <w:pPr>
              <w:spacing w:before="120" w:after="120"/>
              <w:jc w:val="both"/>
              <w:rPr>
                <w:b/>
                <w:bCs/>
                <w:i/>
                <w:lang w:val="ro-RO"/>
              </w:rPr>
            </w:pPr>
            <w:r>
              <w:rPr>
                <w:b/>
                <w:bCs/>
                <w:i/>
                <w:lang w:val="ro-RO"/>
              </w:rPr>
              <w:t>CRITERIUL C.4.: PROCEDURI DE EVALUARE PERIODICĂ A CALITĂŢII CORPULUI PROFESORAL</w:t>
            </w:r>
          </w:p>
        </w:tc>
        <w:tc>
          <w:tcPr>
            <w:tcW w:w="6687" w:type="dxa"/>
            <w:tcBorders>
              <w:right w:val="single" w:sz="4" w:space="0" w:color="auto"/>
            </w:tcBorders>
            <w:vAlign w:val="center"/>
          </w:tcPr>
          <w:p w:rsidR="00B73BBC" w:rsidRDefault="00B73BBC" w:rsidP="00AF750B">
            <w:pPr>
              <w:jc w:val="center"/>
              <w:rPr>
                <w:b/>
                <w:i/>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Default="00B73BBC" w:rsidP="00AF750B">
            <w:pPr>
              <w:spacing w:line="360" w:lineRule="auto"/>
              <w:jc w:val="both"/>
              <w:rPr>
                <w:i/>
                <w:lang w:val="ro-RO"/>
              </w:rPr>
            </w:pPr>
            <w:r>
              <w:rPr>
                <w:i/>
                <w:lang w:val="ro-RO"/>
              </w:rPr>
              <w:t>Standarde: Calitatea personalului didactic şi de cercetare</w:t>
            </w:r>
          </w:p>
        </w:tc>
        <w:tc>
          <w:tcPr>
            <w:tcW w:w="6687" w:type="dxa"/>
            <w:tcBorders>
              <w:right w:val="single" w:sz="4" w:space="0" w:color="auto"/>
            </w:tcBorders>
            <w:vAlign w:val="center"/>
          </w:tcPr>
          <w:p w:rsidR="00B73BBC" w:rsidRDefault="00B73BBC" w:rsidP="00AF750B">
            <w:pPr>
              <w:jc w:val="center"/>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25"/>
          <w:tblHeader/>
        </w:trPr>
        <w:tc>
          <w:tcPr>
            <w:tcW w:w="7488" w:type="dxa"/>
            <w:tcBorders>
              <w:left w:val="single" w:sz="4" w:space="0" w:color="auto"/>
            </w:tcBorders>
            <w:vAlign w:val="center"/>
          </w:tcPr>
          <w:p w:rsidR="00B73BBC" w:rsidRDefault="00B73BBC" w:rsidP="00AF750B">
            <w:pPr>
              <w:jc w:val="both"/>
              <w:rPr>
                <w:bCs/>
                <w:i/>
                <w:lang w:val="ro-RO"/>
              </w:rPr>
            </w:pPr>
            <w:r w:rsidRPr="00B82130">
              <w:rPr>
                <w:bCs/>
                <w:i/>
                <w:lang w:val="ro-RO"/>
              </w:rPr>
              <w:lastRenderedPageBreak/>
              <w:t>1. În funcţie de specificul programului de studiu, facultatea stabileşte acel raport pe care îl consideră  optim pentru obiectivele şi nivelul propriu al calităţii academice între numărul de cadre didactice titulare cu norma de bază în universitate şi numărul total de studenţi înmatriculaţi, în conformitate cu bunele practici universitare în domeniul în care se încadrează programul. În evaluarea calităţii se consideră că un cadru didactic are norma de bază  într-o singură universitate.</w:t>
            </w:r>
          </w:p>
        </w:tc>
        <w:tc>
          <w:tcPr>
            <w:tcW w:w="6687" w:type="dxa"/>
            <w:tcBorders>
              <w:right w:val="single" w:sz="4" w:space="0" w:color="auto"/>
            </w:tcBorders>
            <w:vAlign w:val="center"/>
          </w:tcPr>
          <w:p w:rsidR="00B73BBC" w:rsidRPr="00A71521" w:rsidRDefault="00B73BBC" w:rsidP="00AF118B">
            <w:pPr>
              <w:jc w:val="both"/>
              <w:rPr>
                <w:szCs w:val="22"/>
                <w:lang w:val="ro-RO"/>
              </w:rPr>
            </w:pPr>
          </w:p>
        </w:tc>
      </w:tr>
      <w:tr w:rsidR="00B73BBC" w:rsidRPr="00A03C8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25"/>
          <w:tblHeader/>
        </w:trPr>
        <w:tc>
          <w:tcPr>
            <w:tcW w:w="7488" w:type="dxa"/>
            <w:tcBorders>
              <w:left w:val="single" w:sz="4" w:space="0" w:color="auto"/>
            </w:tcBorders>
            <w:vAlign w:val="center"/>
          </w:tcPr>
          <w:p w:rsidR="00B73BBC" w:rsidRDefault="00B73BBC" w:rsidP="00AF750B">
            <w:pPr>
              <w:jc w:val="both"/>
              <w:rPr>
                <w:bCs/>
                <w:i/>
                <w:lang w:val="ro-RO"/>
              </w:rPr>
            </w:pPr>
            <w:r>
              <w:rPr>
                <w:bCs/>
                <w:i/>
                <w:lang w:val="ro-RO"/>
              </w:rPr>
              <w:t>2. Evaluarea colegială este organizată periodic, fiind bazată pe criterii generale şi pe preferinţe colegiale.</w:t>
            </w:r>
          </w:p>
        </w:tc>
        <w:tc>
          <w:tcPr>
            <w:tcW w:w="6687" w:type="dxa"/>
            <w:tcBorders>
              <w:right w:val="single" w:sz="4" w:space="0" w:color="auto"/>
            </w:tcBorders>
            <w:vAlign w:val="center"/>
          </w:tcPr>
          <w:p w:rsidR="00B73BBC" w:rsidRPr="00F03104" w:rsidRDefault="00B73BBC" w:rsidP="00E258AC">
            <w:pPr>
              <w:pStyle w:val="CM42"/>
              <w:spacing w:after="0"/>
              <w:jc w:val="both"/>
              <w:rPr>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977"/>
          <w:tblHeader/>
        </w:trPr>
        <w:tc>
          <w:tcPr>
            <w:tcW w:w="7488" w:type="dxa"/>
            <w:tcBorders>
              <w:left w:val="single" w:sz="4" w:space="0" w:color="auto"/>
            </w:tcBorders>
            <w:vAlign w:val="center"/>
          </w:tcPr>
          <w:p w:rsidR="00B73BBC" w:rsidRDefault="00B73BBC" w:rsidP="00AF750B">
            <w:pPr>
              <w:jc w:val="both"/>
              <w:rPr>
                <w:bCs/>
                <w:i/>
                <w:lang w:val="ro-RO"/>
              </w:rPr>
            </w:pPr>
            <w:r>
              <w:rPr>
                <w:bCs/>
                <w:i/>
                <w:lang w:val="ro-RO"/>
              </w:rPr>
              <w:t>3. Există un formular de evaluare de către studenţi a tuturor cadrelor didactice, aprobat de Senat, care se aplică după fiecare ciclu semestrial de instruire şi ale cărui rezultate sunt confidenţiale, fiind accesibil doar decanului, rectorului şi persoanei evaluate.</w:t>
            </w:r>
          </w:p>
        </w:tc>
        <w:tc>
          <w:tcPr>
            <w:tcW w:w="6687" w:type="dxa"/>
            <w:tcBorders>
              <w:right w:val="single" w:sz="4" w:space="0" w:color="auto"/>
            </w:tcBorders>
            <w:vAlign w:val="center"/>
          </w:tcPr>
          <w:p w:rsidR="00B73BBC" w:rsidRPr="00F03104" w:rsidRDefault="00B73BBC" w:rsidP="00AF118B">
            <w:pPr>
              <w:jc w:val="both"/>
              <w:rPr>
                <w:bCs/>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Default="00B73BBC" w:rsidP="00AF750B">
            <w:pPr>
              <w:spacing w:line="360" w:lineRule="auto"/>
              <w:jc w:val="both"/>
              <w:rPr>
                <w:bCs/>
                <w:i/>
                <w:lang w:val="ro-RO"/>
              </w:rPr>
            </w:pPr>
            <w:r>
              <w:rPr>
                <w:bCs/>
                <w:i/>
                <w:lang w:val="ro-RO"/>
              </w:rPr>
              <w:t xml:space="preserve">4. Cadrul </w:t>
            </w:r>
            <w:r w:rsidRPr="00B82130">
              <w:rPr>
                <w:bCs/>
                <w:i/>
                <w:lang w:val="ro-RO"/>
              </w:rPr>
              <w:t>didactic se autoevaluează şi este evaluat anual de către şeful de departament.</w:t>
            </w:r>
          </w:p>
        </w:tc>
        <w:tc>
          <w:tcPr>
            <w:tcW w:w="6687" w:type="dxa"/>
            <w:tcBorders>
              <w:right w:val="single" w:sz="4" w:space="0" w:color="auto"/>
            </w:tcBorders>
            <w:vAlign w:val="center"/>
          </w:tcPr>
          <w:p w:rsidR="00B73BBC" w:rsidRPr="00F03104" w:rsidRDefault="00B73BBC" w:rsidP="00AF118B">
            <w:pPr>
              <w:jc w:val="both"/>
              <w:rPr>
                <w:bCs/>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Pr="00B82130" w:rsidRDefault="00B73BBC" w:rsidP="00AF750B">
            <w:pPr>
              <w:spacing w:before="120" w:after="120"/>
              <w:jc w:val="both"/>
              <w:rPr>
                <w:b/>
                <w:bCs/>
                <w:i/>
                <w:lang w:val="ro-RO"/>
              </w:rPr>
            </w:pPr>
            <w:r>
              <w:rPr>
                <w:b/>
                <w:bCs/>
                <w:i/>
                <w:lang w:val="ro-RO"/>
              </w:rPr>
              <w:t>CRITERIUL C.5.: ACCESIBILITATEA RESURSELOR ADECVATE ÎNVĂŢĂRII</w:t>
            </w:r>
          </w:p>
        </w:tc>
        <w:tc>
          <w:tcPr>
            <w:tcW w:w="6687" w:type="dxa"/>
            <w:tcBorders>
              <w:right w:val="single" w:sz="4" w:space="0" w:color="auto"/>
            </w:tcBorders>
            <w:vAlign w:val="center"/>
          </w:tcPr>
          <w:p w:rsidR="00B73BBC" w:rsidRDefault="00B73BBC" w:rsidP="00AF750B">
            <w:pPr>
              <w:jc w:val="center"/>
              <w:rPr>
                <w:b/>
                <w:bCs/>
                <w:i/>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Default="00B73BBC" w:rsidP="00AF750B">
            <w:pPr>
              <w:spacing w:line="360" w:lineRule="auto"/>
              <w:jc w:val="both"/>
              <w:rPr>
                <w:i/>
                <w:lang w:val="ro-RO"/>
              </w:rPr>
            </w:pPr>
            <w:r>
              <w:rPr>
                <w:i/>
                <w:lang w:val="ro-RO"/>
              </w:rPr>
              <w:t>Standarde: Resurse de învăţare şi servicii studenţeşti</w:t>
            </w:r>
          </w:p>
        </w:tc>
        <w:tc>
          <w:tcPr>
            <w:tcW w:w="6687" w:type="dxa"/>
            <w:tcBorders>
              <w:right w:val="single" w:sz="4" w:space="0" w:color="auto"/>
            </w:tcBorders>
            <w:vAlign w:val="center"/>
          </w:tcPr>
          <w:p w:rsidR="00B73BBC" w:rsidRDefault="00B73BBC" w:rsidP="00AF750B">
            <w:pPr>
              <w:jc w:val="both"/>
              <w:rPr>
                <w:bCs/>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45"/>
          <w:tblHeader/>
        </w:trPr>
        <w:tc>
          <w:tcPr>
            <w:tcW w:w="7488" w:type="dxa"/>
            <w:tcBorders>
              <w:left w:val="single" w:sz="4" w:space="0" w:color="auto"/>
            </w:tcBorders>
            <w:vAlign w:val="center"/>
          </w:tcPr>
          <w:p w:rsidR="00B73BBC" w:rsidRDefault="00B73BBC" w:rsidP="00AF750B">
            <w:pPr>
              <w:jc w:val="both"/>
              <w:rPr>
                <w:bCs/>
                <w:i/>
                <w:lang w:val="ro-RO"/>
              </w:rPr>
            </w:pPr>
            <w:r>
              <w:rPr>
                <w:bCs/>
                <w:i/>
                <w:lang w:val="ro-RO"/>
              </w:rPr>
              <w:t>1. Fiecare cadru didactic dispune de strategii actualizate de predare pentru fiecare curs, conforme cu programul de studiu, caracteristicile studenţilor, forma de învăţământ şi criteriile de calitate predefinite.</w:t>
            </w:r>
          </w:p>
        </w:tc>
        <w:tc>
          <w:tcPr>
            <w:tcW w:w="6687" w:type="dxa"/>
            <w:tcBorders>
              <w:right w:val="single" w:sz="4" w:space="0" w:color="auto"/>
            </w:tcBorders>
            <w:vAlign w:val="center"/>
          </w:tcPr>
          <w:p w:rsidR="00B73BBC" w:rsidRPr="00F03104" w:rsidRDefault="00B73BBC" w:rsidP="00AF118B">
            <w:pPr>
              <w:jc w:val="both"/>
              <w:rPr>
                <w:bCs/>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Default="00B73BBC" w:rsidP="00AF750B">
            <w:pPr>
              <w:jc w:val="both"/>
              <w:rPr>
                <w:bCs/>
                <w:i/>
                <w:lang w:val="ro-RO"/>
              </w:rPr>
            </w:pPr>
            <w:r>
              <w:rPr>
                <w:bCs/>
                <w:i/>
                <w:lang w:val="ro-RO"/>
              </w:rPr>
              <w:t>2. Facultatea dispune de programe de stimulare a studenţilor cu performanţe înalte în învăţare şi de recuperare a celor cu dificultăţi în învăţare.</w:t>
            </w:r>
          </w:p>
        </w:tc>
        <w:tc>
          <w:tcPr>
            <w:tcW w:w="6687" w:type="dxa"/>
            <w:tcBorders>
              <w:right w:val="single" w:sz="4" w:space="0" w:color="auto"/>
            </w:tcBorders>
            <w:vAlign w:val="center"/>
          </w:tcPr>
          <w:p w:rsidR="00B73BBC" w:rsidRPr="00142F9D" w:rsidRDefault="00B73BBC" w:rsidP="00E258AC">
            <w:pPr>
              <w:jc w:val="both"/>
              <w:rPr>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924"/>
          <w:tblHeader/>
        </w:trPr>
        <w:tc>
          <w:tcPr>
            <w:tcW w:w="7488" w:type="dxa"/>
            <w:tcBorders>
              <w:left w:val="single" w:sz="4" w:space="0" w:color="auto"/>
            </w:tcBorders>
            <w:vAlign w:val="center"/>
          </w:tcPr>
          <w:p w:rsidR="00B73BBC" w:rsidRDefault="00B73BBC" w:rsidP="00AF750B">
            <w:pPr>
              <w:jc w:val="both"/>
              <w:rPr>
                <w:bCs/>
                <w:i/>
                <w:lang w:val="ro-RO"/>
              </w:rPr>
            </w:pPr>
            <w:r>
              <w:rPr>
                <w:bCs/>
                <w:i/>
                <w:lang w:val="ro-RO"/>
              </w:rPr>
              <w:t>3. Facultatea, prin universitate, dispune de un număr minim de servicii sociale, culturale şi sportive pentru studenţi, cum sunt: spaţii de cazare pentru cel puţin 10 % din studenţi, bază sportivă, diferite servicii de consiliere, care dispun de un management eficient.</w:t>
            </w:r>
          </w:p>
        </w:tc>
        <w:tc>
          <w:tcPr>
            <w:tcW w:w="6687" w:type="dxa"/>
            <w:tcBorders>
              <w:right w:val="single" w:sz="4" w:space="0" w:color="auto"/>
            </w:tcBorders>
            <w:vAlign w:val="center"/>
          </w:tcPr>
          <w:p w:rsidR="00B73BBC" w:rsidRPr="00C94EAC" w:rsidRDefault="00B73BBC" w:rsidP="00AF118B">
            <w:pPr>
              <w:jc w:val="both"/>
              <w:rPr>
                <w:bCs/>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Pr="00B82130" w:rsidRDefault="00B73BBC" w:rsidP="00AF750B">
            <w:pPr>
              <w:spacing w:before="120" w:after="120"/>
              <w:jc w:val="both"/>
              <w:rPr>
                <w:b/>
                <w:bCs/>
                <w:i/>
                <w:lang w:val="ro-RO"/>
              </w:rPr>
            </w:pPr>
            <w:r>
              <w:rPr>
                <w:b/>
                <w:bCs/>
                <w:i/>
                <w:lang w:val="ro-RO"/>
              </w:rPr>
              <w:lastRenderedPageBreak/>
              <w:t>CRITERIUL C.6.: BAZA DE DATE ACTUALIZATĂ SISTEMATIC, REFERITOARE LA ASIGURAREA INTERNĂ A CALITĂŢII</w:t>
            </w:r>
          </w:p>
        </w:tc>
        <w:tc>
          <w:tcPr>
            <w:tcW w:w="6687" w:type="dxa"/>
            <w:tcBorders>
              <w:right w:val="single" w:sz="4" w:space="0" w:color="auto"/>
            </w:tcBorders>
            <w:vAlign w:val="center"/>
          </w:tcPr>
          <w:p w:rsidR="00B73BBC" w:rsidRDefault="00B73BBC" w:rsidP="00AF750B">
            <w:pPr>
              <w:jc w:val="center"/>
              <w:rPr>
                <w:bCs/>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Default="00B73BBC" w:rsidP="00AF750B">
            <w:pPr>
              <w:spacing w:line="360" w:lineRule="auto"/>
              <w:jc w:val="both"/>
              <w:rPr>
                <w:i/>
                <w:lang w:val="ro-RO"/>
              </w:rPr>
            </w:pPr>
            <w:r>
              <w:rPr>
                <w:i/>
                <w:lang w:val="ro-RO"/>
              </w:rPr>
              <w:t>Standarde: Sisteme de informaţii</w:t>
            </w:r>
          </w:p>
        </w:tc>
        <w:tc>
          <w:tcPr>
            <w:tcW w:w="6687" w:type="dxa"/>
            <w:tcBorders>
              <w:right w:val="single" w:sz="4" w:space="0" w:color="auto"/>
            </w:tcBorders>
            <w:vAlign w:val="center"/>
          </w:tcPr>
          <w:p w:rsidR="00B73BBC" w:rsidRDefault="00B73BBC" w:rsidP="00AF750B">
            <w:pPr>
              <w:jc w:val="both"/>
              <w:rPr>
                <w:bCs/>
                <w:lang w:val="ro-RO"/>
              </w:rPr>
            </w:pPr>
          </w:p>
        </w:tc>
      </w:tr>
      <w:tr w:rsidR="00B73BBC" w:rsidRPr="00760FF2"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Default="00B73BBC" w:rsidP="00AF750B">
            <w:pPr>
              <w:jc w:val="both"/>
              <w:rPr>
                <w:bCs/>
                <w:i/>
                <w:lang w:val="ro-RO"/>
              </w:rPr>
            </w:pPr>
            <w:r>
              <w:rPr>
                <w:bCs/>
                <w:i/>
                <w:lang w:val="ro-RO"/>
              </w:rPr>
              <w:t>1. Instituţia are la nivelul facultăţii un sistem informatic care facilitează colectarea, prelucrarea şi analiza datelor şi informaţiilor relevante pentru evaluarea şi asigurarea instituţională a calităţii.</w:t>
            </w:r>
          </w:p>
        </w:tc>
        <w:tc>
          <w:tcPr>
            <w:tcW w:w="6687" w:type="dxa"/>
            <w:tcBorders>
              <w:right w:val="single" w:sz="4" w:space="0" w:color="auto"/>
            </w:tcBorders>
            <w:vAlign w:val="center"/>
          </w:tcPr>
          <w:p w:rsidR="00B73BBC" w:rsidRPr="00A4726A" w:rsidRDefault="00B73BBC" w:rsidP="00AF118B">
            <w:pPr>
              <w:jc w:val="both"/>
              <w:rPr>
                <w:szCs w:val="22"/>
                <w:lang w:val="ro-RO"/>
              </w:rPr>
            </w:pPr>
          </w:p>
        </w:tc>
      </w:tr>
      <w:tr w:rsidR="00B73BBC" w:rsidRPr="00985E74"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1143"/>
          <w:tblHeader/>
        </w:trPr>
        <w:tc>
          <w:tcPr>
            <w:tcW w:w="7488" w:type="dxa"/>
            <w:tcBorders>
              <w:left w:val="single" w:sz="4" w:space="0" w:color="auto"/>
            </w:tcBorders>
            <w:vAlign w:val="center"/>
          </w:tcPr>
          <w:p w:rsidR="00B73BBC" w:rsidRPr="00B82130" w:rsidRDefault="00B73BBC" w:rsidP="00AF750B">
            <w:pPr>
              <w:spacing w:before="120" w:after="120"/>
              <w:jc w:val="both"/>
              <w:rPr>
                <w:b/>
                <w:bCs/>
                <w:i/>
                <w:lang w:val="ro-RO"/>
              </w:rPr>
            </w:pPr>
            <w:r>
              <w:rPr>
                <w:b/>
                <w:bCs/>
                <w:i/>
                <w:lang w:val="ro-RO"/>
              </w:rPr>
              <w:t>CRITERIUL C.7.: TRANSPARENŢA INFORMAŢIILOR DE INTERES PUBLIC CU PRIVIRE LA PROGRAMELE DE STUDII ŞI, DUPĂ CAZ, CERTIFICATELE, DIPLOMELE ŞI CALIFICĂRILE OFERITE</w:t>
            </w:r>
          </w:p>
        </w:tc>
        <w:tc>
          <w:tcPr>
            <w:tcW w:w="6687" w:type="dxa"/>
            <w:tcBorders>
              <w:right w:val="single" w:sz="4" w:space="0" w:color="auto"/>
            </w:tcBorders>
            <w:vAlign w:val="center"/>
          </w:tcPr>
          <w:p w:rsidR="00B73BBC" w:rsidRDefault="00B73BBC" w:rsidP="00AF750B">
            <w:pPr>
              <w:jc w:val="center"/>
              <w:rPr>
                <w:b/>
                <w:bCs/>
                <w:i/>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Default="00B73BBC" w:rsidP="00AF750B">
            <w:pPr>
              <w:spacing w:line="360" w:lineRule="auto"/>
              <w:jc w:val="both"/>
              <w:rPr>
                <w:i/>
                <w:lang w:val="ro-RO"/>
              </w:rPr>
            </w:pPr>
            <w:r>
              <w:rPr>
                <w:i/>
                <w:lang w:val="ro-RO"/>
              </w:rPr>
              <w:t>Standarde: Informaţie publică</w:t>
            </w:r>
          </w:p>
        </w:tc>
        <w:tc>
          <w:tcPr>
            <w:tcW w:w="6687" w:type="dxa"/>
            <w:tcBorders>
              <w:right w:val="single" w:sz="4" w:space="0" w:color="auto"/>
            </w:tcBorders>
            <w:vAlign w:val="center"/>
          </w:tcPr>
          <w:p w:rsidR="00B73BBC" w:rsidRDefault="00B73BBC" w:rsidP="00AF750B">
            <w:pPr>
              <w:jc w:val="both"/>
              <w:rPr>
                <w:bCs/>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1008"/>
          <w:tblHeader/>
        </w:trPr>
        <w:tc>
          <w:tcPr>
            <w:tcW w:w="7488" w:type="dxa"/>
            <w:tcBorders>
              <w:left w:val="single" w:sz="4" w:space="0" w:color="auto"/>
            </w:tcBorders>
            <w:vAlign w:val="center"/>
          </w:tcPr>
          <w:p w:rsidR="00B73BBC" w:rsidRDefault="00B73BBC" w:rsidP="00AF750B">
            <w:pPr>
              <w:jc w:val="both"/>
              <w:rPr>
                <w:bCs/>
                <w:i/>
                <w:lang w:val="ro-RO"/>
              </w:rPr>
            </w:pPr>
            <w:r>
              <w:rPr>
                <w:bCs/>
                <w:i/>
                <w:lang w:val="ro-RO"/>
              </w:rPr>
              <w:t>1. Facultatea trebuie să ofere informaţii şi date, cantitative şi/sau calitative, actuale şi corecte, despre calificările, programele de studiu, diplomele, personalul didactic şi de cercetare, facilităţile oferite studenţilor şi despre orice aspecte de interes pentru public, în general, şi pentru studenţi, în special.</w:t>
            </w:r>
          </w:p>
        </w:tc>
        <w:tc>
          <w:tcPr>
            <w:tcW w:w="6687" w:type="dxa"/>
            <w:tcBorders>
              <w:right w:val="single" w:sz="4" w:space="0" w:color="auto"/>
            </w:tcBorders>
            <w:vAlign w:val="center"/>
          </w:tcPr>
          <w:p w:rsidR="00B73BBC" w:rsidRPr="00F03104" w:rsidRDefault="00B73BBC" w:rsidP="00AF118B">
            <w:pPr>
              <w:jc w:val="both"/>
              <w:rPr>
                <w:bCs/>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blHeader/>
        </w:trPr>
        <w:tc>
          <w:tcPr>
            <w:tcW w:w="7488" w:type="dxa"/>
            <w:tcBorders>
              <w:left w:val="single" w:sz="4" w:space="0" w:color="auto"/>
            </w:tcBorders>
            <w:vAlign w:val="center"/>
          </w:tcPr>
          <w:p w:rsidR="00B73BBC" w:rsidRDefault="00B73BBC" w:rsidP="00AF750B">
            <w:pPr>
              <w:spacing w:before="120" w:after="120"/>
              <w:jc w:val="both"/>
              <w:rPr>
                <w:b/>
                <w:bCs/>
                <w:i/>
                <w:lang w:val="ro-RO"/>
              </w:rPr>
            </w:pPr>
            <w:r>
              <w:rPr>
                <w:b/>
                <w:bCs/>
                <w:i/>
                <w:lang w:val="ro-RO"/>
              </w:rPr>
              <w:t>CRITERIUL C.8.: FUNCŢIONALITATEA STRUCTURILOR DE ASIGURARE A CALITĂŢII EDUCAŢIEI, CONFORM LEGII</w:t>
            </w:r>
          </w:p>
        </w:tc>
        <w:tc>
          <w:tcPr>
            <w:tcW w:w="6687" w:type="dxa"/>
            <w:tcBorders>
              <w:right w:val="single" w:sz="4" w:space="0" w:color="auto"/>
            </w:tcBorders>
            <w:vAlign w:val="center"/>
          </w:tcPr>
          <w:p w:rsidR="00B73BBC" w:rsidRDefault="00B73BBC" w:rsidP="00AF750B">
            <w:pPr>
              <w:jc w:val="center"/>
              <w:rPr>
                <w:b/>
                <w:bCs/>
                <w:i/>
                <w:lang w:val="ro-RO"/>
              </w:rPr>
            </w:pPr>
          </w:p>
        </w:tc>
      </w:tr>
      <w:tr w:rsidR="00B73BBC"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693"/>
          <w:tblHeader/>
        </w:trPr>
        <w:tc>
          <w:tcPr>
            <w:tcW w:w="7488" w:type="dxa"/>
            <w:tcBorders>
              <w:left w:val="single" w:sz="4" w:space="0" w:color="auto"/>
            </w:tcBorders>
            <w:vAlign w:val="center"/>
          </w:tcPr>
          <w:p w:rsidR="00B73BBC" w:rsidRDefault="00B73BBC" w:rsidP="00AF750B">
            <w:pPr>
              <w:jc w:val="both"/>
              <w:rPr>
                <w:bCs/>
                <w:i/>
                <w:lang w:val="ro-RO"/>
              </w:rPr>
            </w:pPr>
            <w:r>
              <w:rPr>
                <w:i/>
                <w:lang w:val="ro-RO"/>
              </w:rPr>
              <w:t>Standarde: Structura instituţională de asigurare a calităţii educaţiei este conformă prevederilor legale şi îşi desfăşoară activitatea permanent.</w:t>
            </w:r>
          </w:p>
        </w:tc>
        <w:tc>
          <w:tcPr>
            <w:tcW w:w="6687" w:type="dxa"/>
            <w:tcBorders>
              <w:right w:val="single" w:sz="4" w:space="0" w:color="auto"/>
            </w:tcBorders>
            <w:vAlign w:val="center"/>
          </w:tcPr>
          <w:p w:rsidR="00B73BBC" w:rsidRDefault="00B73BBC" w:rsidP="00AF750B">
            <w:pPr>
              <w:jc w:val="both"/>
              <w:rPr>
                <w:bCs/>
                <w:lang w:val="ro-RO"/>
              </w:rPr>
            </w:pPr>
          </w:p>
        </w:tc>
      </w:tr>
      <w:tr w:rsidR="00B73BBC" w:rsidRPr="00746FCA"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561"/>
          <w:tblHeader/>
        </w:trPr>
        <w:tc>
          <w:tcPr>
            <w:tcW w:w="7488" w:type="dxa"/>
            <w:tcBorders>
              <w:left w:val="single" w:sz="4" w:space="0" w:color="auto"/>
            </w:tcBorders>
            <w:vAlign w:val="center"/>
          </w:tcPr>
          <w:p w:rsidR="00B73BBC" w:rsidRDefault="00B73BBC" w:rsidP="00AF750B">
            <w:pPr>
              <w:spacing w:line="360" w:lineRule="auto"/>
              <w:jc w:val="both"/>
              <w:rPr>
                <w:bCs/>
                <w:i/>
                <w:lang w:val="ro-RO"/>
              </w:rPr>
            </w:pPr>
            <w:r>
              <w:rPr>
                <w:bCs/>
                <w:i/>
                <w:lang w:val="ro-RO"/>
              </w:rPr>
              <w:t>1. Există la nivelul facultăţii o comisie pentru evaluarea şi asigurarea calităţii.</w:t>
            </w:r>
          </w:p>
        </w:tc>
        <w:tc>
          <w:tcPr>
            <w:tcW w:w="6687" w:type="dxa"/>
            <w:tcBorders>
              <w:right w:val="single" w:sz="4" w:space="0" w:color="auto"/>
            </w:tcBorders>
            <w:vAlign w:val="center"/>
          </w:tcPr>
          <w:p w:rsidR="00B73BBC" w:rsidRPr="00F03104" w:rsidRDefault="00B73BBC" w:rsidP="00AF118B">
            <w:pPr>
              <w:jc w:val="both"/>
              <w:rPr>
                <w:bCs/>
                <w:lang w:val="ro-RO"/>
              </w:rPr>
            </w:pPr>
          </w:p>
        </w:tc>
      </w:tr>
      <w:tr w:rsidR="00B73BBC" w:rsidRPr="00767259" w:rsidTr="00B73BBC">
        <w:tblPrEx>
          <w:tblBorders>
            <w:top w:val="thickThinSmallGap" w:sz="12" w:space="0" w:color="auto"/>
            <w:left w:val="thickThinSmallGap" w:sz="12" w:space="0" w:color="auto"/>
            <w:bottom w:val="thinThickSmallGap" w:sz="12" w:space="0" w:color="auto"/>
            <w:right w:val="thinThickSmallGap" w:sz="12" w:space="0" w:color="auto"/>
          </w:tblBorders>
        </w:tblPrEx>
        <w:trPr>
          <w:trHeight w:val="1049"/>
          <w:tblHeader/>
        </w:trPr>
        <w:tc>
          <w:tcPr>
            <w:tcW w:w="7488" w:type="dxa"/>
            <w:tcBorders>
              <w:left w:val="single" w:sz="4" w:space="0" w:color="auto"/>
            </w:tcBorders>
            <w:vAlign w:val="center"/>
          </w:tcPr>
          <w:p w:rsidR="00B73BBC" w:rsidRDefault="00B73BBC" w:rsidP="00AF750B">
            <w:pPr>
              <w:jc w:val="both"/>
              <w:rPr>
                <w:bCs/>
                <w:i/>
                <w:lang w:val="ro-RO"/>
              </w:rPr>
            </w:pPr>
            <w:r>
              <w:rPr>
                <w:bCs/>
                <w:i/>
                <w:lang w:val="ro-RO"/>
              </w:rPr>
              <w:t>2. Procedurile şi activităţile de evaluare privind calitatea educaţiei au fost elaborate şi aprobate de Senatul universitar. Comisia elaborează Raportul anual de evaluare internă şi îl face public prin afişare sau publicare, inclusiv în format electronic, şi formulează propuneri de îmbunătăţire a calităţii educaţiei.</w:t>
            </w:r>
          </w:p>
        </w:tc>
        <w:tc>
          <w:tcPr>
            <w:tcW w:w="6687" w:type="dxa"/>
            <w:tcBorders>
              <w:right w:val="single" w:sz="4" w:space="0" w:color="auto"/>
            </w:tcBorders>
            <w:vAlign w:val="center"/>
          </w:tcPr>
          <w:p w:rsidR="00B73BBC" w:rsidRPr="00F03104" w:rsidRDefault="00B73BBC" w:rsidP="00AF118B">
            <w:pPr>
              <w:jc w:val="both"/>
              <w:rPr>
                <w:bCs/>
                <w:lang w:val="ro-RO"/>
              </w:rPr>
            </w:pPr>
          </w:p>
        </w:tc>
      </w:tr>
    </w:tbl>
    <w:p w:rsidR="00E21164" w:rsidRPr="00AA2395" w:rsidRDefault="00E21164" w:rsidP="00E21164">
      <w:pPr>
        <w:tabs>
          <w:tab w:val="left" w:pos="4260"/>
        </w:tabs>
      </w:pPr>
    </w:p>
    <w:sectPr w:rsidR="00E21164" w:rsidRPr="00AA2395" w:rsidSect="00985E74">
      <w:headerReference w:type="default" r:id="rId9"/>
      <w:footerReference w:type="default" r:id="rId10"/>
      <w:pgSz w:w="16838" w:h="11906" w:orient="landscape"/>
      <w:pgMar w:top="1843" w:right="1245" w:bottom="993"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6E" w:rsidRDefault="0005666E" w:rsidP="009B651D">
      <w:r>
        <w:separator/>
      </w:r>
    </w:p>
  </w:endnote>
  <w:endnote w:type="continuationSeparator" w:id="0">
    <w:p w:rsidR="0005666E" w:rsidRDefault="0005666E" w:rsidP="009B6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247873"/>
      <w:docPartObj>
        <w:docPartGallery w:val="Page Numbers (Bottom of Page)"/>
        <w:docPartUnique/>
      </w:docPartObj>
    </w:sdtPr>
    <w:sdtEndPr>
      <w:rPr>
        <w:sz w:val="10"/>
      </w:rPr>
    </w:sdtEndPr>
    <w:sdtContent>
      <w:p w:rsidR="00985E74" w:rsidRDefault="005C29D6">
        <w:pPr>
          <w:pStyle w:val="Footer"/>
          <w:jc w:val="center"/>
        </w:pPr>
        <w:fldSimple w:instr=" PAGE   \* MERGEFORMAT ">
          <w:r>
            <w:rPr>
              <w:noProof/>
            </w:rPr>
            <w:t>1</w:t>
          </w:r>
        </w:fldSimple>
      </w:p>
      <w:p w:rsidR="00E21164" w:rsidRPr="00985E74" w:rsidRDefault="001B243B" w:rsidP="005C29D6">
        <w:pPr>
          <w:pStyle w:val="Footer"/>
          <w:jc w:val="center"/>
          <w:rPr>
            <w:sz w:val="10"/>
          </w:rPr>
        </w:pPr>
      </w:p>
    </w:sdtContent>
  </w:sdt>
  <w:p w:rsidR="00E21164" w:rsidRDefault="00E21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6E" w:rsidRDefault="0005666E" w:rsidP="009B651D">
      <w:r>
        <w:separator/>
      </w:r>
    </w:p>
  </w:footnote>
  <w:footnote w:type="continuationSeparator" w:id="0">
    <w:p w:rsidR="0005666E" w:rsidRDefault="0005666E" w:rsidP="009B6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94" w:rsidRDefault="001B243B" w:rsidP="006B61E4">
    <w:pPr>
      <w:pStyle w:val="Header"/>
      <w:ind w:left="-1411" w:firstLine="571"/>
    </w:pPr>
    <w:r>
      <w:rPr>
        <w:noProof/>
        <w:lang w:val="en-US"/>
      </w:rPr>
      <w:pict>
        <v:shapetype id="_x0000_t32" coordsize="21600,21600" o:spt="32" o:oned="t" path="m,l21600,21600e" filled="f">
          <v:path arrowok="t" fillok="f" o:connecttype="none"/>
          <o:lock v:ext="edit" shapetype="t"/>
        </v:shapetype>
        <v:shape id="_x0000_s30722" type="#_x0000_t32" style="position:absolute;left:0;text-align:left;margin-left:0;margin-top:84.1pt;width:708pt;height:0;z-index:251658240" o:connectortype="straight" strokecolor="#009"/>
      </w:pict>
    </w:r>
    <w:r w:rsidR="00E63794" w:rsidRPr="00E63794">
      <w:rPr>
        <w:noProof/>
        <w:lang w:val="en-US"/>
      </w:rPr>
      <w:drawing>
        <wp:inline distT="0" distB="0" distL="0" distR="0">
          <wp:extent cx="10068460" cy="1162050"/>
          <wp:effectExtent l="19050" t="0" r="89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15937" cy="117907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23FD"/>
    <w:multiLevelType w:val="hybridMultilevel"/>
    <w:tmpl w:val="51A6D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981933"/>
    <w:multiLevelType w:val="hybridMultilevel"/>
    <w:tmpl w:val="FC3C46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46082">
      <o:colormenu v:ext="edit" strokecolor="#009"/>
    </o:shapedefaults>
    <o:shapelayout v:ext="edit">
      <o:idmap v:ext="edit" data="30"/>
      <o:rules v:ext="edit">
        <o:r id="V:Rule2" type="connector" idref="#_x0000_s30722"/>
      </o:rules>
    </o:shapelayout>
  </w:hdrShapeDefaults>
  <w:footnotePr>
    <w:footnote w:id="-1"/>
    <w:footnote w:id="0"/>
  </w:footnotePr>
  <w:endnotePr>
    <w:endnote w:id="-1"/>
    <w:endnote w:id="0"/>
  </w:endnotePr>
  <w:compat/>
  <w:rsids>
    <w:rsidRoot w:val="002137C4"/>
    <w:rsid w:val="00014CBC"/>
    <w:rsid w:val="00021333"/>
    <w:rsid w:val="000311AC"/>
    <w:rsid w:val="00031D42"/>
    <w:rsid w:val="00034F45"/>
    <w:rsid w:val="00036AA6"/>
    <w:rsid w:val="0005540A"/>
    <w:rsid w:val="0005666E"/>
    <w:rsid w:val="00057777"/>
    <w:rsid w:val="000649AB"/>
    <w:rsid w:val="00075132"/>
    <w:rsid w:val="000821B5"/>
    <w:rsid w:val="00087694"/>
    <w:rsid w:val="000A2703"/>
    <w:rsid w:val="000B2740"/>
    <w:rsid w:val="000C1E96"/>
    <w:rsid w:val="000D3D9C"/>
    <w:rsid w:val="000E0B15"/>
    <w:rsid w:val="000E2DDD"/>
    <w:rsid w:val="0012444D"/>
    <w:rsid w:val="00124BA5"/>
    <w:rsid w:val="00127B27"/>
    <w:rsid w:val="00150016"/>
    <w:rsid w:val="00155A58"/>
    <w:rsid w:val="001900BD"/>
    <w:rsid w:val="00194A61"/>
    <w:rsid w:val="00195DD9"/>
    <w:rsid w:val="001B243B"/>
    <w:rsid w:val="001D6822"/>
    <w:rsid w:val="001E68C3"/>
    <w:rsid w:val="001F18AC"/>
    <w:rsid w:val="001F2C66"/>
    <w:rsid w:val="002136A8"/>
    <w:rsid w:val="002137C4"/>
    <w:rsid w:val="00223D9D"/>
    <w:rsid w:val="0023516A"/>
    <w:rsid w:val="002575BF"/>
    <w:rsid w:val="00282B36"/>
    <w:rsid w:val="0029067E"/>
    <w:rsid w:val="002933FF"/>
    <w:rsid w:val="00294387"/>
    <w:rsid w:val="00296C68"/>
    <w:rsid w:val="002B39A7"/>
    <w:rsid w:val="002C103D"/>
    <w:rsid w:val="00302AB3"/>
    <w:rsid w:val="00307D34"/>
    <w:rsid w:val="00307E3D"/>
    <w:rsid w:val="00316E1A"/>
    <w:rsid w:val="003215FE"/>
    <w:rsid w:val="00326494"/>
    <w:rsid w:val="00343B6B"/>
    <w:rsid w:val="0034581B"/>
    <w:rsid w:val="00345C9B"/>
    <w:rsid w:val="00361172"/>
    <w:rsid w:val="003821BE"/>
    <w:rsid w:val="00391841"/>
    <w:rsid w:val="003B4302"/>
    <w:rsid w:val="003C3D71"/>
    <w:rsid w:val="003C536A"/>
    <w:rsid w:val="003D2147"/>
    <w:rsid w:val="003D35E7"/>
    <w:rsid w:val="003D5B08"/>
    <w:rsid w:val="003F474D"/>
    <w:rsid w:val="00401653"/>
    <w:rsid w:val="00411210"/>
    <w:rsid w:val="00417625"/>
    <w:rsid w:val="00453145"/>
    <w:rsid w:val="00456570"/>
    <w:rsid w:val="0046249F"/>
    <w:rsid w:val="00493A4D"/>
    <w:rsid w:val="004A1DC0"/>
    <w:rsid w:val="004A7657"/>
    <w:rsid w:val="004C468E"/>
    <w:rsid w:val="004E1FA4"/>
    <w:rsid w:val="004E677A"/>
    <w:rsid w:val="004E7514"/>
    <w:rsid w:val="004E7B00"/>
    <w:rsid w:val="004F7B1B"/>
    <w:rsid w:val="00514B9E"/>
    <w:rsid w:val="005565B3"/>
    <w:rsid w:val="0056005F"/>
    <w:rsid w:val="00563596"/>
    <w:rsid w:val="00571D96"/>
    <w:rsid w:val="005752D6"/>
    <w:rsid w:val="0059200B"/>
    <w:rsid w:val="00595259"/>
    <w:rsid w:val="005A703C"/>
    <w:rsid w:val="005C29D6"/>
    <w:rsid w:val="005D3632"/>
    <w:rsid w:val="0061577A"/>
    <w:rsid w:val="006372C0"/>
    <w:rsid w:val="00654CB8"/>
    <w:rsid w:val="00676C6D"/>
    <w:rsid w:val="00686E53"/>
    <w:rsid w:val="006A44E7"/>
    <w:rsid w:val="006B06CB"/>
    <w:rsid w:val="006B2E2D"/>
    <w:rsid w:val="006B61E4"/>
    <w:rsid w:val="006D596C"/>
    <w:rsid w:val="00705E10"/>
    <w:rsid w:val="00707C29"/>
    <w:rsid w:val="00731B8A"/>
    <w:rsid w:val="0073334B"/>
    <w:rsid w:val="00736107"/>
    <w:rsid w:val="007409EA"/>
    <w:rsid w:val="007422F2"/>
    <w:rsid w:val="007819DE"/>
    <w:rsid w:val="00781F3A"/>
    <w:rsid w:val="007A0DA8"/>
    <w:rsid w:val="007B2069"/>
    <w:rsid w:val="007C6338"/>
    <w:rsid w:val="007D3DF3"/>
    <w:rsid w:val="007E4C0E"/>
    <w:rsid w:val="008045DC"/>
    <w:rsid w:val="008066BA"/>
    <w:rsid w:val="00816074"/>
    <w:rsid w:val="00836284"/>
    <w:rsid w:val="0084427E"/>
    <w:rsid w:val="008472D8"/>
    <w:rsid w:val="008529B9"/>
    <w:rsid w:val="0087226D"/>
    <w:rsid w:val="0087321C"/>
    <w:rsid w:val="00876673"/>
    <w:rsid w:val="00877283"/>
    <w:rsid w:val="0088443D"/>
    <w:rsid w:val="0089204B"/>
    <w:rsid w:val="00894C57"/>
    <w:rsid w:val="008A4CD8"/>
    <w:rsid w:val="008D7228"/>
    <w:rsid w:val="008E3067"/>
    <w:rsid w:val="008F196D"/>
    <w:rsid w:val="008F28A3"/>
    <w:rsid w:val="0091427D"/>
    <w:rsid w:val="0092048F"/>
    <w:rsid w:val="0092681B"/>
    <w:rsid w:val="0092782F"/>
    <w:rsid w:val="00931F63"/>
    <w:rsid w:val="00935088"/>
    <w:rsid w:val="009376F5"/>
    <w:rsid w:val="009501FA"/>
    <w:rsid w:val="00963EC2"/>
    <w:rsid w:val="00973634"/>
    <w:rsid w:val="00980208"/>
    <w:rsid w:val="00985E74"/>
    <w:rsid w:val="00994EF7"/>
    <w:rsid w:val="009A42A1"/>
    <w:rsid w:val="009B651D"/>
    <w:rsid w:val="009B7724"/>
    <w:rsid w:val="009D33D0"/>
    <w:rsid w:val="009D76D6"/>
    <w:rsid w:val="00A06F5D"/>
    <w:rsid w:val="00A11188"/>
    <w:rsid w:val="00A13297"/>
    <w:rsid w:val="00A143BE"/>
    <w:rsid w:val="00A30960"/>
    <w:rsid w:val="00A56639"/>
    <w:rsid w:val="00A6277B"/>
    <w:rsid w:val="00A84CF5"/>
    <w:rsid w:val="00A873F3"/>
    <w:rsid w:val="00A953BF"/>
    <w:rsid w:val="00A9710F"/>
    <w:rsid w:val="00AA1718"/>
    <w:rsid w:val="00AA2395"/>
    <w:rsid w:val="00AD0A5D"/>
    <w:rsid w:val="00AD3E3B"/>
    <w:rsid w:val="00AF27A0"/>
    <w:rsid w:val="00B00D11"/>
    <w:rsid w:val="00B1373B"/>
    <w:rsid w:val="00B3593E"/>
    <w:rsid w:val="00B40D54"/>
    <w:rsid w:val="00B45B0B"/>
    <w:rsid w:val="00B60142"/>
    <w:rsid w:val="00B634C3"/>
    <w:rsid w:val="00B73BBC"/>
    <w:rsid w:val="00B75E2B"/>
    <w:rsid w:val="00B8425B"/>
    <w:rsid w:val="00B84576"/>
    <w:rsid w:val="00BA0954"/>
    <w:rsid w:val="00BA379C"/>
    <w:rsid w:val="00BB714D"/>
    <w:rsid w:val="00BC6274"/>
    <w:rsid w:val="00BC6EFA"/>
    <w:rsid w:val="00BD19A8"/>
    <w:rsid w:val="00BD61B3"/>
    <w:rsid w:val="00BE623D"/>
    <w:rsid w:val="00C064EF"/>
    <w:rsid w:val="00C21A83"/>
    <w:rsid w:val="00C36C64"/>
    <w:rsid w:val="00C37C3F"/>
    <w:rsid w:val="00C40F27"/>
    <w:rsid w:val="00C41043"/>
    <w:rsid w:val="00C432E5"/>
    <w:rsid w:val="00C577FD"/>
    <w:rsid w:val="00C67373"/>
    <w:rsid w:val="00C73098"/>
    <w:rsid w:val="00C944F0"/>
    <w:rsid w:val="00CA45C6"/>
    <w:rsid w:val="00CB260E"/>
    <w:rsid w:val="00CD53CC"/>
    <w:rsid w:val="00CD787C"/>
    <w:rsid w:val="00D012FC"/>
    <w:rsid w:val="00D03E87"/>
    <w:rsid w:val="00D102EA"/>
    <w:rsid w:val="00D1312A"/>
    <w:rsid w:val="00D3530B"/>
    <w:rsid w:val="00D47172"/>
    <w:rsid w:val="00D53A3E"/>
    <w:rsid w:val="00D62BF2"/>
    <w:rsid w:val="00D9172A"/>
    <w:rsid w:val="00D954B5"/>
    <w:rsid w:val="00DA7CB4"/>
    <w:rsid w:val="00DF7051"/>
    <w:rsid w:val="00E05C97"/>
    <w:rsid w:val="00E21164"/>
    <w:rsid w:val="00E220EE"/>
    <w:rsid w:val="00E40AE2"/>
    <w:rsid w:val="00E418AF"/>
    <w:rsid w:val="00E50E5A"/>
    <w:rsid w:val="00E5445D"/>
    <w:rsid w:val="00E63794"/>
    <w:rsid w:val="00E64A56"/>
    <w:rsid w:val="00E97A91"/>
    <w:rsid w:val="00EA6E45"/>
    <w:rsid w:val="00EB6069"/>
    <w:rsid w:val="00EC6A00"/>
    <w:rsid w:val="00ED57A3"/>
    <w:rsid w:val="00EE7FE7"/>
    <w:rsid w:val="00F06CB8"/>
    <w:rsid w:val="00F3457F"/>
    <w:rsid w:val="00F54719"/>
    <w:rsid w:val="00F73728"/>
    <w:rsid w:val="00F757E4"/>
    <w:rsid w:val="00F92205"/>
    <w:rsid w:val="00FD5919"/>
    <w:rsid w:val="00FE3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strokecolor="#009"/>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ro-RO"/>
    </w:rPr>
  </w:style>
  <w:style w:type="paragraph" w:styleId="Heading2">
    <w:name w:val="heading 2"/>
    <w:basedOn w:val="Normal"/>
    <w:next w:val="Normal"/>
    <w:link w:val="Heading2Char"/>
    <w:qFormat/>
    <w:rsid w:val="00B73BBC"/>
    <w:pPr>
      <w:keepNext/>
      <w:overflowPunct/>
      <w:autoSpaceDE/>
      <w:autoSpaceDN/>
      <w:adjustRightInd/>
      <w:jc w:val="both"/>
      <w:textAlignment w:val="auto"/>
      <w:outlineLvl w:val="1"/>
    </w:pPr>
    <w:rPr>
      <w:rFonts w:eastAsia="Calibri"/>
      <w:b/>
      <w:bCs/>
      <w:color w:val="000000"/>
      <w:szCs w:val="24"/>
    </w:rPr>
  </w:style>
  <w:style w:type="paragraph" w:styleId="Heading6">
    <w:name w:val="heading 6"/>
    <w:basedOn w:val="Normal"/>
    <w:next w:val="Normal"/>
    <w:link w:val="Heading6Char"/>
    <w:qFormat/>
    <w:rsid w:val="00B73BBC"/>
    <w:pPr>
      <w:overflowPunct/>
      <w:autoSpaceDE/>
      <w:autoSpaceDN/>
      <w:adjustRightInd/>
      <w:spacing w:before="240" w:after="60"/>
      <w:textAlignment w:val="auto"/>
      <w:outlineLvl w:val="5"/>
    </w:pPr>
    <w:rPr>
      <w:rFonts w:eastAsia="Calibri"/>
      <w:b/>
      <w:bCs/>
      <w:sz w:val="20"/>
    </w:rPr>
  </w:style>
  <w:style w:type="paragraph" w:styleId="Heading9">
    <w:name w:val="heading 9"/>
    <w:basedOn w:val="Normal"/>
    <w:next w:val="Normal"/>
    <w:link w:val="Heading9Char"/>
    <w:qFormat/>
    <w:rsid w:val="00B73BBC"/>
    <w:pPr>
      <w:overflowPunct/>
      <w:autoSpaceDE/>
      <w:autoSpaceDN/>
      <w:adjustRightInd/>
      <w:spacing w:before="240" w:after="60"/>
      <w:textAlignment w:val="auto"/>
      <w:outlineLvl w:val="8"/>
    </w:pPr>
    <w:rPr>
      <w:rFonts w:ascii="Arial" w:eastAsia="Calibri"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651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val="ro-RO" w:eastAsia="en-US"/>
    </w:rPr>
  </w:style>
  <w:style w:type="character" w:customStyle="1" w:styleId="HeaderChar">
    <w:name w:val="Header Char"/>
    <w:basedOn w:val="DefaultParagraphFont"/>
    <w:link w:val="Header"/>
    <w:rsid w:val="009B651D"/>
  </w:style>
  <w:style w:type="paragraph" w:styleId="Footer">
    <w:name w:val="footer"/>
    <w:basedOn w:val="Normal"/>
    <w:link w:val="FooterChar"/>
    <w:uiPriority w:val="99"/>
    <w:unhideWhenUsed/>
    <w:rsid w:val="009B651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val="ro-RO" w:eastAsia="en-US"/>
    </w:rPr>
  </w:style>
  <w:style w:type="character" w:customStyle="1" w:styleId="FooterChar">
    <w:name w:val="Footer Char"/>
    <w:basedOn w:val="DefaultParagraphFont"/>
    <w:link w:val="Footer"/>
    <w:uiPriority w:val="99"/>
    <w:rsid w:val="009B651D"/>
  </w:style>
  <w:style w:type="paragraph" w:styleId="BalloonText">
    <w:name w:val="Balloon Text"/>
    <w:basedOn w:val="Normal"/>
    <w:link w:val="BalloonTextChar"/>
    <w:uiPriority w:val="99"/>
    <w:semiHidden/>
    <w:unhideWhenUsed/>
    <w:rsid w:val="009B651D"/>
    <w:pPr>
      <w:overflowPunct/>
      <w:autoSpaceDE/>
      <w:autoSpaceDN/>
      <w:adjustRightInd/>
      <w:textAlignment w:val="auto"/>
    </w:pPr>
    <w:rPr>
      <w:rFonts w:ascii="Tahoma" w:eastAsiaTheme="minorHAnsi" w:hAnsi="Tahoma" w:cs="Tahoma"/>
      <w:sz w:val="16"/>
      <w:szCs w:val="16"/>
      <w:lang w:val="ro-RO" w:eastAsia="en-US"/>
    </w:rPr>
  </w:style>
  <w:style w:type="character" w:customStyle="1" w:styleId="BalloonTextChar">
    <w:name w:val="Balloon Text Char"/>
    <w:basedOn w:val="DefaultParagraphFont"/>
    <w:link w:val="BalloonText"/>
    <w:uiPriority w:val="99"/>
    <w:semiHidden/>
    <w:rsid w:val="009B651D"/>
    <w:rPr>
      <w:rFonts w:ascii="Tahoma" w:hAnsi="Tahoma" w:cs="Tahoma"/>
      <w:sz w:val="16"/>
      <w:szCs w:val="16"/>
    </w:rPr>
  </w:style>
  <w:style w:type="table" w:styleId="TableGrid">
    <w:name w:val="Table Grid"/>
    <w:basedOn w:val="TableNormal"/>
    <w:uiPriority w:val="59"/>
    <w:rsid w:val="009B6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73BBC"/>
    <w:rPr>
      <w:rFonts w:ascii="Times New Roman" w:eastAsia="Calibri" w:hAnsi="Times New Roman" w:cs="Times New Roman"/>
      <w:b/>
      <w:bCs/>
      <w:color w:val="000000"/>
      <w:sz w:val="24"/>
      <w:szCs w:val="24"/>
    </w:rPr>
  </w:style>
  <w:style w:type="character" w:customStyle="1" w:styleId="Heading6Char">
    <w:name w:val="Heading 6 Char"/>
    <w:basedOn w:val="DefaultParagraphFont"/>
    <w:link w:val="Heading6"/>
    <w:rsid w:val="00B73BBC"/>
    <w:rPr>
      <w:rFonts w:ascii="Times New Roman" w:eastAsia="Calibri" w:hAnsi="Times New Roman" w:cs="Times New Roman"/>
      <w:b/>
      <w:bCs/>
      <w:sz w:val="20"/>
      <w:szCs w:val="20"/>
      <w:lang w:val="en-US"/>
    </w:rPr>
  </w:style>
  <w:style w:type="character" w:customStyle="1" w:styleId="Heading9Char">
    <w:name w:val="Heading 9 Char"/>
    <w:basedOn w:val="DefaultParagraphFont"/>
    <w:link w:val="Heading9"/>
    <w:rsid w:val="00B73BBC"/>
    <w:rPr>
      <w:rFonts w:ascii="Arial" w:eastAsia="Calibri" w:hAnsi="Arial" w:cs="Times New Roman"/>
      <w:sz w:val="20"/>
      <w:szCs w:val="20"/>
      <w:lang w:val="en-US"/>
    </w:rPr>
  </w:style>
  <w:style w:type="paragraph" w:customStyle="1" w:styleId="Default">
    <w:name w:val="Default"/>
    <w:rsid w:val="00B73BB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rsid w:val="00B73BBC"/>
    <w:rPr>
      <w:color w:val="0000FF"/>
      <w:u w:val="single"/>
    </w:rPr>
  </w:style>
  <w:style w:type="paragraph" w:customStyle="1" w:styleId="CM42">
    <w:name w:val="CM42"/>
    <w:basedOn w:val="Default"/>
    <w:next w:val="Default"/>
    <w:rsid w:val="00B73BBC"/>
    <w:pPr>
      <w:spacing w:after="118"/>
    </w:pPr>
    <w:rPr>
      <w:color w:val="auto"/>
    </w:rPr>
  </w:style>
</w:styles>
</file>

<file path=word/webSettings.xml><?xml version="1.0" encoding="utf-8"?>
<w:webSettings xmlns:r="http://schemas.openxmlformats.org/officeDocument/2006/relationships" xmlns:w="http://schemas.openxmlformats.org/wordprocessingml/2006/main">
  <w:divs>
    <w:div w:id="1018190440">
      <w:bodyDiv w:val="1"/>
      <w:marLeft w:val="0"/>
      <w:marRight w:val="0"/>
      <w:marTop w:val="0"/>
      <w:marBottom w:val="0"/>
      <w:divBdr>
        <w:top w:val="none" w:sz="0" w:space="0" w:color="auto"/>
        <w:left w:val="none" w:sz="0" w:space="0" w:color="auto"/>
        <w:bottom w:val="none" w:sz="0" w:space="0" w:color="auto"/>
        <w:right w:val="none" w:sz="0" w:space="0" w:color="auto"/>
      </w:divBdr>
    </w:div>
    <w:div w:id="13619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bbcluj.ro/taxe-valabile-pentru-anul-universitar-2013-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0F381-E8F7-4E0B-8B36-37FA80CF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4391</Words>
  <Characters>25035</Characters>
  <Application>Microsoft Office Word</Application>
  <DocSecurity>0</DocSecurity>
  <Lines>208</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Eni</dc:creator>
  <cp:lastModifiedBy>Mircea</cp:lastModifiedBy>
  <cp:revision>8</cp:revision>
  <cp:lastPrinted>2014-06-10T11:27:00Z</cp:lastPrinted>
  <dcterms:created xsi:type="dcterms:W3CDTF">2015-01-25T08:25:00Z</dcterms:created>
  <dcterms:modified xsi:type="dcterms:W3CDTF">2015-02-05T08:37:00Z</dcterms:modified>
</cp:coreProperties>
</file>