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
          <w:bCs/>
          <w:color w:val="000099"/>
          <w:sz w:val="18"/>
          <w:szCs w:val="18"/>
          <w:lang w:val="ro-RO"/>
        </w:rPr>
        <w:t>Investeşte în oameni!</w:t>
      </w:r>
    </w:p>
    <w:p w:rsidR="006B61E4" w:rsidRPr="006B61E4" w:rsidRDefault="006B61E4" w:rsidP="006B61E4">
      <w:pPr>
        <w:jc w:val="both"/>
        <w:rPr>
          <w:rFonts w:ascii="Arial" w:hAnsi="Arial" w:cs="Arial"/>
          <w:bCs/>
          <w:color w:val="000099"/>
          <w:sz w:val="18"/>
          <w:szCs w:val="18"/>
          <w:lang w:val="ro-RO"/>
        </w:rPr>
      </w:pPr>
      <w:r w:rsidRPr="006B61E4">
        <w:rPr>
          <w:rFonts w:ascii="Arial" w:hAnsi="Arial" w:cs="Arial"/>
          <w:bCs/>
          <w:color w:val="000099"/>
          <w:sz w:val="18"/>
          <w:szCs w:val="18"/>
          <w:lang w:val="ro-RO"/>
        </w:rPr>
        <w:t>Proiect cofinanţat din Fondul Social European prin</w:t>
      </w:r>
      <w:r w:rsidRPr="006B61E4">
        <w:rPr>
          <w:rFonts w:ascii="Arial" w:hAnsi="Arial" w:cs="Arial"/>
          <w:b/>
          <w:bCs/>
          <w:color w:val="000099"/>
          <w:sz w:val="18"/>
          <w:szCs w:val="18"/>
          <w:lang w:val="ro-RO"/>
        </w:rPr>
        <w:t xml:space="preserve"> </w:t>
      </w:r>
      <w:r w:rsidRPr="006B61E4">
        <w:rPr>
          <w:rFonts w:ascii="Arial" w:hAnsi="Arial" w:cs="Arial"/>
          <w:bCs/>
          <w:color w:val="000099"/>
          <w:sz w:val="18"/>
          <w:szCs w:val="18"/>
          <w:lang w:val="ro-RO"/>
        </w:rPr>
        <w:t>Programul Operaţional Sectorial Dezvoltarea Resurselor Umane 2007 – 2013</w:t>
      </w:r>
    </w:p>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Cs/>
          <w:color w:val="000099"/>
          <w:sz w:val="18"/>
          <w:szCs w:val="18"/>
          <w:lang w:val="ro-RO"/>
        </w:rPr>
        <w:t xml:space="preserve">Axa prioritară </w:t>
      </w:r>
      <w:r w:rsidRPr="006B61E4">
        <w:rPr>
          <w:rFonts w:ascii="Arial" w:hAnsi="Arial" w:cs="Arial"/>
          <w:b/>
          <w:bCs/>
          <w:color w:val="000099"/>
          <w:sz w:val="18"/>
          <w:szCs w:val="18"/>
          <w:lang w:val="ro-RO"/>
        </w:rPr>
        <w:t>1 „Educaţia şi formarea profesională în sprijinul creşterii economice şi dezvoltării societăţii bazate pe cunoaştere”</w:t>
      </w:r>
      <w:r w:rsidR="006B06CB" w:rsidRPr="006B06CB">
        <w:rPr>
          <w:noProof/>
          <w:color w:val="000000" w:themeColor="text1"/>
          <w:sz w:val="20"/>
          <w:lang w:eastAsia="en-US"/>
        </w:rPr>
        <w:t xml:space="preserve"> </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color w:val="000099"/>
          <w:sz w:val="18"/>
          <w:szCs w:val="18"/>
          <w:lang w:val="ro-RO"/>
        </w:rPr>
        <w:t>Domeniul major de intervenţie</w:t>
      </w:r>
      <w:r w:rsidRPr="006B61E4">
        <w:rPr>
          <w:rFonts w:ascii="Arial" w:hAnsi="Arial" w:cs="Arial"/>
          <w:b/>
          <w:color w:val="000099"/>
          <w:sz w:val="18"/>
          <w:szCs w:val="18"/>
          <w:lang w:val="ro-RO"/>
        </w:rPr>
        <w:t xml:space="preserve"> 1.2 „Calitate în învăţământul superior”</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b/>
          <w:color w:val="000099"/>
          <w:sz w:val="18"/>
          <w:szCs w:val="18"/>
          <w:lang w:val="ro-RO"/>
        </w:rPr>
        <w:t>Titlul proiectului „Dezvoltarea şi consolidarea culturii calităţii la nivelul sistemului de învăţământ superior românesc - QUALITAS”</w:t>
      </w:r>
    </w:p>
    <w:p w:rsidR="006B61E4" w:rsidRPr="006B61E4" w:rsidRDefault="006B61E4" w:rsidP="006B61E4">
      <w:pPr>
        <w:jc w:val="both"/>
        <w:rPr>
          <w:rFonts w:ascii="Arial" w:hAnsi="Arial" w:cs="Arial"/>
          <w:color w:val="000099"/>
          <w:sz w:val="18"/>
          <w:szCs w:val="18"/>
          <w:lang w:val="ro-RO"/>
        </w:rPr>
      </w:pPr>
      <w:r w:rsidRPr="006B61E4">
        <w:rPr>
          <w:rFonts w:ascii="Arial" w:hAnsi="Arial" w:cs="Arial"/>
          <w:color w:val="000099"/>
          <w:sz w:val="18"/>
          <w:szCs w:val="18"/>
          <w:lang w:val="ro-RO"/>
        </w:rPr>
        <w:t>Contract POSDRU/155/1.2/S/141894</w:t>
      </w:r>
    </w:p>
    <w:p w:rsidR="006B61E4" w:rsidRPr="00EC0DFC" w:rsidRDefault="00EE496C" w:rsidP="006B61E4">
      <w:pPr>
        <w:rPr>
          <w:rFonts w:ascii="Arial" w:hAnsi="Arial" w:cs="Arial"/>
          <w:color w:val="FF0000"/>
          <w:sz w:val="18"/>
          <w:szCs w:val="18"/>
          <w:lang w:val="ro-RO"/>
        </w:rPr>
      </w:pPr>
      <w:r w:rsidRPr="00EE496C">
        <w:rPr>
          <w:noProof/>
          <w:lang w:eastAsia="en-US"/>
        </w:rPr>
        <w:pict>
          <v:shapetype id="_x0000_t32" coordsize="21600,21600" o:spt="32" o:oned="t" path="m,l21600,21600e" filled="f">
            <v:path arrowok="t" fillok="f" o:connecttype="none"/>
            <o:lock v:ext="edit" shapetype="t"/>
          </v:shapetype>
          <v:shape id="_x0000_s1026" type="#_x0000_t32" style="position:absolute;margin-left:0;margin-top:7.7pt;width:708pt;height:0;z-index:251658240" o:connectortype="straight" strokecolor="#009"/>
        </w:pict>
      </w:r>
    </w:p>
    <w:p w:rsidR="00D1312A" w:rsidRPr="00EC0DFC" w:rsidRDefault="00D1312A" w:rsidP="00E21164">
      <w:pPr>
        <w:tabs>
          <w:tab w:val="left" w:pos="4260"/>
        </w:tabs>
        <w:rPr>
          <w:sz w:val="18"/>
          <w:szCs w:val="18"/>
          <w:lang w:val="ro-RO"/>
        </w:rPr>
      </w:pPr>
    </w:p>
    <w:p w:rsidR="00EC0DFC" w:rsidRPr="00CA393B" w:rsidRDefault="00EC0DFC" w:rsidP="00066FE6">
      <w:pPr>
        <w:pStyle w:val="Heading9"/>
        <w:spacing w:before="0" w:after="120"/>
        <w:rPr>
          <w:rFonts w:ascii="Times New Roman" w:hAnsi="Times New Roman"/>
          <w:b/>
          <w:i/>
          <w:sz w:val="28"/>
          <w:lang w:val="ro-RO"/>
        </w:rPr>
      </w:pPr>
      <w:bookmarkStart w:id="0" w:name="_GoBack"/>
      <w:bookmarkEnd w:id="0"/>
      <w:r w:rsidRPr="00CA393B">
        <w:rPr>
          <w:rFonts w:ascii="Times New Roman" w:hAnsi="Times New Roman"/>
          <w:b/>
          <w:i/>
          <w:sz w:val="28"/>
          <w:lang w:val="ro-RO"/>
        </w:rPr>
        <w:t>Agenţia Română de Asigurare a Calităţii în Învăţământul Superior</w:t>
      </w:r>
    </w:p>
    <w:p w:rsidR="00EC0DFC" w:rsidRPr="00CA393B" w:rsidRDefault="00EC0DFC" w:rsidP="00066FE6">
      <w:pPr>
        <w:pStyle w:val="Heading9"/>
        <w:spacing w:after="120"/>
        <w:jc w:val="center"/>
        <w:rPr>
          <w:rFonts w:ascii="Times New Roman" w:hAnsi="Times New Roman"/>
          <w:b/>
          <w:sz w:val="32"/>
          <w:szCs w:val="32"/>
          <w:u w:val="single"/>
          <w:lang w:val="ro-RO"/>
        </w:rPr>
      </w:pPr>
      <w:r w:rsidRPr="00CA393B">
        <w:rPr>
          <w:rFonts w:ascii="Times New Roman" w:hAnsi="Times New Roman"/>
          <w:b/>
          <w:sz w:val="32"/>
          <w:szCs w:val="32"/>
          <w:u w:val="single"/>
          <w:lang w:val="ro-RO"/>
        </w:rPr>
        <w:t>FIŞA VIZITEI</w:t>
      </w:r>
    </w:p>
    <w:p w:rsidR="00EC0DFC" w:rsidRPr="00CA393B" w:rsidRDefault="00EC0DFC" w:rsidP="00066FE6">
      <w:pPr>
        <w:pStyle w:val="Heading9"/>
        <w:spacing w:after="120"/>
        <w:jc w:val="center"/>
        <w:rPr>
          <w:rFonts w:ascii="Times New Roman" w:hAnsi="Times New Roman"/>
          <w:b/>
          <w:i/>
          <w:sz w:val="28"/>
          <w:lang w:val="ro-RO"/>
        </w:rPr>
      </w:pPr>
      <w:r w:rsidRPr="00CA393B">
        <w:rPr>
          <w:rFonts w:ascii="Times New Roman" w:hAnsi="Times New Roman"/>
          <w:b/>
          <w:i/>
          <w:sz w:val="28"/>
          <w:lang w:val="ro-RO"/>
        </w:rPr>
        <w:t>a ) VERIFICAREA ÎNDEPLINIRII CERINŢELOR NORMATIVE OBLIGATORII</w:t>
      </w:r>
    </w:p>
    <w:p w:rsidR="00EC0DFC" w:rsidRPr="00CA393B" w:rsidRDefault="00EC0DFC" w:rsidP="00066FE6">
      <w:pPr>
        <w:jc w:val="center"/>
        <w:rPr>
          <w:b/>
          <w:i/>
          <w:sz w:val="28"/>
          <w:lang w:val="ro-RO"/>
        </w:rPr>
      </w:pPr>
      <w:r w:rsidRPr="00CA393B">
        <w:rPr>
          <w:b/>
          <w:i/>
          <w:sz w:val="28"/>
          <w:lang w:val="ro-RO"/>
        </w:rPr>
        <w:t>pentru</w:t>
      </w:r>
    </w:p>
    <w:p w:rsidR="00EC0DFC" w:rsidRPr="00CA393B" w:rsidRDefault="00EC0DFC" w:rsidP="00066FE6">
      <w:pPr>
        <w:jc w:val="center"/>
        <w:rPr>
          <w:b/>
          <w:sz w:val="20"/>
          <w:lang w:val="ro-RO"/>
        </w:rPr>
      </w:pPr>
    </w:p>
    <w:p w:rsidR="00EC0DFC" w:rsidRPr="00CA393B" w:rsidRDefault="00EC0DFC" w:rsidP="00066FE6">
      <w:pPr>
        <w:spacing w:after="120"/>
        <w:jc w:val="center"/>
        <w:rPr>
          <w:b/>
          <w:lang w:val="ro-RO"/>
        </w:rPr>
      </w:pPr>
      <w:r w:rsidRPr="00CA393B">
        <w:rPr>
          <w:b/>
          <w:lang w:val="ro-RO"/>
        </w:rPr>
        <w:t>evaluarea instituţională în vederea  evaluării externe a calităţii educaţiei</w:t>
      </w:r>
    </w:p>
    <w:p w:rsidR="00EC0DFC" w:rsidRPr="00CA393B" w:rsidRDefault="00EC0DFC" w:rsidP="00066FE6">
      <w:pPr>
        <w:tabs>
          <w:tab w:val="left" w:pos="-1701"/>
          <w:tab w:val="left" w:pos="-1276"/>
        </w:tabs>
        <w:rPr>
          <w:b/>
          <w:i/>
          <w:lang w:val="ro-RO"/>
        </w:rPr>
      </w:pPr>
      <w:r w:rsidRPr="00CA393B">
        <w:rPr>
          <w:b/>
          <w:i/>
          <w:lang w:val="ro-RO"/>
        </w:rPr>
        <w:tab/>
      </w:r>
      <w:r w:rsidRPr="00CA393B">
        <w:rPr>
          <w:b/>
          <w:i/>
          <w:lang w:val="ro-RO"/>
        </w:rPr>
        <w:tab/>
      </w:r>
      <w:r w:rsidRPr="00CA393B">
        <w:rPr>
          <w:b/>
          <w:i/>
          <w:lang w:val="ro-RO"/>
        </w:rPr>
        <w:tab/>
      </w:r>
    </w:p>
    <w:p w:rsidR="00EC0DFC" w:rsidRPr="00CA393B" w:rsidRDefault="00EC0DFC" w:rsidP="00066FE6">
      <w:pPr>
        <w:tabs>
          <w:tab w:val="left" w:pos="-1701"/>
          <w:tab w:val="left" w:pos="-1276"/>
        </w:tabs>
        <w:rPr>
          <w:b/>
          <w:color w:val="000000"/>
          <w:lang w:val="ro-RO"/>
        </w:rPr>
      </w:pPr>
      <w:r w:rsidRPr="00CA393B">
        <w:rPr>
          <w:b/>
          <w:i/>
          <w:lang w:val="ro-RO"/>
        </w:rPr>
        <w:tab/>
      </w:r>
      <w:r w:rsidRPr="00CA393B">
        <w:rPr>
          <w:b/>
          <w:i/>
          <w:lang w:val="ro-RO"/>
        </w:rPr>
        <w:tab/>
      </w:r>
      <w:r w:rsidRPr="00CA393B">
        <w:rPr>
          <w:b/>
          <w:i/>
          <w:lang w:val="ro-RO"/>
        </w:rPr>
        <w:tab/>
      </w:r>
      <w:r w:rsidRPr="00CA393B">
        <w:rPr>
          <w:b/>
          <w:i/>
          <w:color w:val="000000"/>
          <w:lang w:val="ro-RO"/>
        </w:rPr>
        <w:t xml:space="preserve"> Data vizitei: </w:t>
      </w:r>
    </w:p>
    <w:p w:rsidR="00EC0DFC" w:rsidRPr="00CA393B" w:rsidRDefault="00EC0DFC" w:rsidP="00066FE6">
      <w:pPr>
        <w:rPr>
          <w:b/>
          <w:color w:val="000000"/>
          <w:lang w:val="ro-RO"/>
        </w:rPr>
      </w:pPr>
    </w:p>
    <w:tbl>
      <w:tblPr>
        <w:tblW w:w="13788" w:type="dxa"/>
        <w:tblLook w:val="04A0"/>
      </w:tblPr>
      <w:tblGrid>
        <w:gridCol w:w="7905"/>
        <w:gridCol w:w="5883"/>
      </w:tblGrid>
      <w:tr w:rsidR="00EC0DFC" w:rsidRPr="009B09EC" w:rsidTr="00EC0DFC">
        <w:tc>
          <w:tcPr>
            <w:tcW w:w="7905" w:type="dxa"/>
          </w:tcPr>
          <w:p w:rsidR="00EC0DFC" w:rsidRDefault="00EC0DFC" w:rsidP="00370586">
            <w:pPr>
              <w:rPr>
                <w:b/>
                <w:color w:val="000000"/>
                <w:lang w:val="ro-RO"/>
              </w:rPr>
            </w:pPr>
            <w:r>
              <w:rPr>
                <w:b/>
                <w:color w:val="000000"/>
                <w:lang w:val="ro-RO"/>
              </w:rPr>
              <w:t xml:space="preserve">ETS - </w:t>
            </w:r>
            <w:r w:rsidRPr="00CA393B">
              <w:rPr>
                <w:b/>
                <w:color w:val="000000"/>
                <w:lang w:val="ro-RO"/>
              </w:rPr>
              <w:t>Director de misiune:</w:t>
            </w:r>
            <w:r w:rsidRPr="00CA393B">
              <w:rPr>
                <w:b/>
                <w:sz w:val="22"/>
                <w:szCs w:val="22"/>
                <w:lang w:val="ro-RO" w:eastAsia="en-US"/>
              </w:rPr>
              <w:t xml:space="preserve"> </w:t>
            </w:r>
            <w:r w:rsidRPr="00CA393B">
              <w:rPr>
                <w:b/>
                <w:color w:val="000000"/>
                <w:lang w:val="ro-RO"/>
              </w:rPr>
              <w:t xml:space="preserve">Prof. univ. dr. </w:t>
            </w:r>
          </w:p>
          <w:p w:rsidR="00EC0DFC" w:rsidRPr="00CA393B" w:rsidRDefault="00EC0DFC" w:rsidP="00370586">
            <w:pPr>
              <w:rPr>
                <w:b/>
                <w:lang w:val="ro-RO"/>
              </w:rPr>
            </w:pPr>
          </w:p>
        </w:tc>
        <w:tc>
          <w:tcPr>
            <w:tcW w:w="5883" w:type="dxa"/>
          </w:tcPr>
          <w:p w:rsidR="00EC0DFC" w:rsidRPr="00CA393B" w:rsidRDefault="00EC0DFC" w:rsidP="006E2965">
            <w:pPr>
              <w:rPr>
                <w:b/>
                <w:color w:val="000000"/>
                <w:lang w:val="ro-RO"/>
              </w:rPr>
            </w:pPr>
          </w:p>
        </w:tc>
      </w:tr>
      <w:tr w:rsidR="00EC0DFC" w:rsidRPr="00CA393B" w:rsidTr="00EC0DFC">
        <w:tc>
          <w:tcPr>
            <w:tcW w:w="7905" w:type="dxa"/>
          </w:tcPr>
          <w:p w:rsidR="00EC0DFC" w:rsidRDefault="00EC0DFC" w:rsidP="00EC0DFC">
            <w:pPr>
              <w:rPr>
                <w:b/>
                <w:lang w:val="ro-RO"/>
              </w:rPr>
            </w:pPr>
            <w:r>
              <w:rPr>
                <w:b/>
                <w:lang w:val="ro-RO"/>
              </w:rPr>
              <w:t xml:space="preserve">ETS - </w:t>
            </w:r>
            <w:r w:rsidRPr="00CA393B">
              <w:rPr>
                <w:b/>
                <w:lang w:val="ro-RO"/>
              </w:rPr>
              <w:t xml:space="preserve">Coordonator evaluare: Prof. univ. dr. </w:t>
            </w:r>
          </w:p>
          <w:p w:rsidR="00EC0DFC" w:rsidRPr="00CA393B" w:rsidRDefault="00EC0DFC" w:rsidP="00EC0DFC">
            <w:pPr>
              <w:rPr>
                <w:b/>
                <w:color w:val="000000"/>
                <w:lang w:val="ro-RO"/>
              </w:rPr>
            </w:pPr>
          </w:p>
        </w:tc>
        <w:tc>
          <w:tcPr>
            <w:tcW w:w="5883" w:type="dxa"/>
          </w:tcPr>
          <w:p w:rsidR="00EC0DFC" w:rsidRPr="00CA393B" w:rsidRDefault="00EC0DFC" w:rsidP="006E2965">
            <w:pPr>
              <w:rPr>
                <w:b/>
                <w:color w:val="000000"/>
                <w:lang w:val="ro-RO"/>
              </w:rPr>
            </w:pPr>
          </w:p>
        </w:tc>
      </w:tr>
      <w:tr w:rsidR="00EC0DFC" w:rsidRPr="009B09EC" w:rsidTr="00EC0DFC">
        <w:tc>
          <w:tcPr>
            <w:tcW w:w="7905" w:type="dxa"/>
          </w:tcPr>
          <w:p w:rsidR="00EC0DFC" w:rsidRDefault="00EC0DFC" w:rsidP="006E2965">
            <w:pPr>
              <w:rPr>
                <w:b/>
                <w:lang w:val="ro-RO"/>
              </w:rPr>
            </w:pPr>
            <w:r>
              <w:rPr>
                <w:b/>
                <w:lang w:val="ro-RO"/>
              </w:rPr>
              <w:t xml:space="preserve">ETS - </w:t>
            </w:r>
            <w:r w:rsidRPr="00EC0DFC">
              <w:rPr>
                <w:b/>
                <w:lang w:val="ro-RO"/>
              </w:rPr>
              <w:t>Reprezentant Comisie Instituțională</w:t>
            </w:r>
            <w:r w:rsidRPr="00CA393B">
              <w:rPr>
                <w:b/>
                <w:lang w:val="ro-RO"/>
              </w:rPr>
              <w:t xml:space="preserve">: Prof. univ. dr. </w:t>
            </w:r>
          </w:p>
          <w:p w:rsidR="001B7361" w:rsidRPr="00CA393B" w:rsidRDefault="001B7361" w:rsidP="006E2965">
            <w:pPr>
              <w:rPr>
                <w:b/>
                <w:lang w:val="ro-RO"/>
              </w:rPr>
            </w:pPr>
          </w:p>
        </w:tc>
        <w:tc>
          <w:tcPr>
            <w:tcW w:w="5883" w:type="dxa"/>
          </w:tcPr>
          <w:p w:rsidR="00EC0DFC" w:rsidRPr="00CA393B" w:rsidRDefault="00EC0DFC" w:rsidP="006E2965">
            <w:pPr>
              <w:rPr>
                <w:b/>
                <w:color w:val="000000"/>
                <w:lang w:val="ro-RO"/>
              </w:rPr>
            </w:pPr>
          </w:p>
        </w:tc>
      </w:tr>
      <w:tr w:rsidR="00EC0DFC" w:rsidRPr="00CA393B" w:rsidTr="00EC0DFC">
        <w:tc>
          <w:tcPr>
            <w:tcW w:w="7905" w:type="dxa"/>
          </w:tcPr>
          <w:p w:rsidR="00EC0DFC" w:rsidRPr="00CA393B" w:rsidRDefault="00EC0DFC" w:rsidP="006E2965">
            <w:pPr>
              <w:rPr>
                <w:b/>
                <w:i/>
                <w:lang w:val="ro-RO"/>
              </w:rPr>
            </w:pPr>
            <w:r w:rsidRPr="00CA393B">
              <w:rPr>
                <w:b/>
                <w:i/>
                <w:lang w:val="ro-RO"/>
              </w:rPr>
              <w:t>PROGRAME EVALUATE</w:t>
            </w:r>
          </w:p>
        </w:tc>
        <w:tc>
          <w:tcPr>
            <w:tcW w:w="5883" w:type="dxa"/>
          </w:tcPr>
          <w:p w:rsidR="00EC0DFC" w:rsidRPr="00CA393B" w:rsidRDefault="00EC0DFC" w:rsidP="006E2965">
            <w:pPr>
              <w:rPr>
                <w:b/>
                <w:color w:val="000000"/>
                <w:lang w:val="ro-RO"/>
              </w:rPr>
            </w:pPr>
          </w:p>
        </w:tc>
      </w:tr>
    </w:tbl>
    <w:p w:rsidR="00EC0DFC" w:rsidRDefault="00EC0DFC"/>
    <w:p w:rsidR="00EC0DFC" w:rsidRDefault="00EC0DFC">
      <w:pPr>
        <w:overflowPunct/>
        <w:autoSpaceDE/>
        <w:autoSpaceDN/>
        <w:adjustRightInd/>
        <w:spacing w:after="200" w:line="276" w:lineRule="auto"/>
        <w:textAlignment w:val="auto"/>
      </w:pPr>
      <w:r>
        <w:br w:type="page"/>
      </w:r>
    </w:p>
    <w:p w:rsidR="00EC0DFC" w:rsidRDefault="00EC0DFC"/>
    <w:tbl>
      <w:tblPr>
        <w:tblW w:w="14601" w:type="dxa"/>
        <w:tblInd w:w="108"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000"/>
      </w:tblPr>
      <w:tblGrid>
        <w:gridCol w:w="7560"/>
        <w:gridCol w:w="7041"/>
      </w:tblGrid>
      <w:tr w:rsidR="00EC0DFC" w:rsidRPr="00CA393B" w:rsidTr="00EC0DFC">
        <w:trPr>
          <w:cantSplit/>
          <w:trHeight w:val="525"/>
          <w:tblHeader/>
        </w:trPr>
        <w:tc>
          <w:tcPr>
            <w:tcW w:w="7560" w:type="dxa"/>
            <w:tcBorders>
              <w:top w:val="double" w:sz="4" w:space="0" w:color="auto"/>
              <w:left w:val="double" w:sz="4" w:space="0" w:color="auto"/>
              <w:bottom w:val="double" w:sz="4" w:space="0" w:color="auto"/>
            </w:tcBorders>
            <w:vAlign w:val="center"/>
          </w:tcPr>
          <w:p w:rsidR="00EC0DFC" w:rsidRPr="00CA393B" w:rsidRDefault="00EC0DFC" w:rsidP="006E2965">
            <w:pPr>
              <w:pStyle w:val="Heading2"/>
              <w:jc w:val="center"/>
              <w:rPr>
                <w:i/>
                <w:sz w:val="28"/>
              </w:rPr>
            </w:pPr>
            <w:r w:rsidRPr="00CA393B">
              <w:rPr>
                <w:b w:val="0"/>
              </w:rPr>
              <w:tab/>
            </w:r>
            <w:r w:rsidRPr="00CA393B">
              <w:rPr>
                <w:i/>
                <w:sz w:val="28"/>
              </w:rPr>
              <w:t>VERIFICAREA CERINŢELOR NORMATIVE OBLIGATORII</w:t>
            </w:r>
          </w:p>
        </w:tc>
        <w:tc>
          <w:tcPr>
            <w:tcW w:w="7041" w:type="dxa"/>
            <w:tcBorders>
              <w:top w:val="double" w:sz="4" w:space="0" w:color="auto"/>
              <w:bottom w:val="double" w:sz="4" w:space="0" w:color="auto"/>
              <w:right w:val="double" w:sz="4" w:space="0" w:color="auto"/>
            </w:tcBorders>
            <w:vAlign w:val="center"/>
          </w:tcPr>
          <w:p w:rsidR="00EC0DFC" w:rsidRPr="00CA393B" w:rsidRDefault="00EC0DFC" w:rsidP="006E2965">
            <w:pPr>
              <w:pStyle w:val="Heading2"/>
              <w:jc w:val="center"/>
              <w:rPr>
                <w:i/>
                <w:sz w:val="28"/>
              </w:rPr>
            </w:pPr>
            <w:r w:rsidRPr="00CA393B">
              <w:rPr>
                <w:i/>
                <w:sz w:val="28"/>
              </w:rPr>
              <w:t>CONSTATĂRI/MENŢIUNI</w:t>
            </w:r>
          </w:p>
        </w:tc>
      </w:tr>
      <w:tr w:rsidR="00EC0DFC" w:rsidRPr="00CA393B" w:rsidTr="00EC0DFC">
        <w:trPr>
          <w:trHeight w:val="526"/>
        </w:trPr>
        <w:tc>
          <w:tcPr>
            <w:tcW w:w="14601" w:type="dxa"/>
            <w:gridSpan w:val="2"/>
            <w:tcBorders>
              <w:top w:val="double" w:sz="4" w:space="0" w:color="auto"/>
              <w:left w:val="single" w:sz="4" w:space="0" w:color="auto"/>
              <w:bottom w:val="single" w:sz="4" w:space="0" w:color="auto"/>
              <w:right w:val="single" w:sz="4" w:space="0" w:color="auto"/>
            </w:tcBorders>
            <w:vAlign w:val="center"/>
          </w:tcPr>
          <w:p w:rsidR="00EC0DFC" w:rsidRPr="00CA393B" w:rsidRDefault="00EC0DFC" w:rsidP="00EC0DFC">
            <w:pPr>
              <w:ind w:left="186"/>
              <w:jc w:val="center"/>
              <w:rPr>
                <w:b/>
                <w:i/>
                <w:sz w:val="28"/>
                <w:lang w:val="ro-RO"/>
              </w:rPr>
            </w:pPr>
            <w:r w:rsidRPr="00CA393B">
              <w:rPr>
                <w:b/>
                <w:i/>
                <w:sz w:val="28"/>
                <w:lang w:val="ro-RO"/>
              </w:rPr>
              <w:t>STATUTUL JURIDIC</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w:t>
            </w:r>
          </w:p>
        </w:tc>
      </w:tr>
      <w:tr w:rsidR="00EC0DFC" w:rsidRPr="009B09EC" w:rsidTr="00EC0DFC">
        <w:trPr>
          <w:trHeight w:val="526"/>
        </w:trPr>
        <w:tc>
          <w:tcPr>
            <w:tcW w:w="7560" w:type="dxa"/>
            <w:tcBorders>
              <w:top w:val="doub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i/>
                <w:sz w:val="28"/>
                <w:lang w:val="ro-RO"/>
              </w:rPr>
            </w:pPr>
            <w:r w:rsidRPr="00CA393B">
              <w:rPr>
                <w:i/>
                <w:sz w:val="28"/>
                <w:lang w:val="ro-RO"/>
              </w:rPr>
              <w:t xml:space="preserve">1. </w:t>
            </w:r>
            <w:r w:rsidRPr="00CA393B">
              <w:rPr>
                <w:b/>
                <w:i/>
                <w:sz w:val="28"/>
                <w:lang w:val="ro-RO"/>
              </w:rPr>
              <w:t>Se verifică existenţa statutului juridic propriu stabilit prin actul de înfiinţare</w:t>
            </w:r>
          </w:p>
          <w:p w:rsidR="00EC0DFC" w:rsidRPr="00CA393B" w:rsidRDefault="00EC0DFC" w:rsidP="006E2965">
            <w:pPr>
              <w:jc w:val="both"/>
              <w:rPr>
                <w:lang w:val="ro-RO"/>
              </w:rPr>
            </w:pPr>
            <w:r w:rsidRPr="00CA393B">
              <w:rPr>
                <w:lang w:val="ro-RO"/>
              </w:rPr>
              <w:t xml:space="preserve">Se menţionează </w:t>
            </w:r>
            <w:r w:rsidRPr="00CA393B">
              <w:rPr>
                <w:i/>
                <w:lang w:val="ro-RO"/>
              </w:rPr>
              <w:t>Legea de înfiinţare</w:t>
            </w:r>
            <w:r w:rsidRPr="00CA393B">
              <w:rPr>
                <w:lang w:val="ro-RO"/>
              </w:rPr>
              <w:t xml:space="preserve"> </w:t>
            </w:r>
          </w:p>
          <w:p w:rsidR="00EC0DFC" w:rsidRPr="00CA393B" w:rsidRDefault="00EC0DFC" w:rsidP="006E2965">
            <w:pPr>
              <w:jc w:val="both"/>
              <w:rPr>
                <w:b/>
                <w:sz w:val="28"/>
                <w:szCs w:val="28"/>
                <w:lang w:val="ro-RO"/>
              </w:rPr>
            </w:pPr>
            <w:r w:rsidRPr="00CA393B">
              <w:rPr>
                <w:lang w:val="ro-RO"/>
              </w:rPr>
              <w:t>Se face numai pentru verificarea şi actualizarea datelor din Raportul de autoevaluare.</w:t>
            </w:r>
            <w:r w:rsidRPr="00CA393B">
              <w:rPr>
                <w:b/>
                <w:sz w:val="20"/>
                <w:lang w:val="ro-RO"/>
              </w:rPr>
              <w:t xml:space="preserve"> </w:t>
            </w:r>
          </w:p>
        </w:tc>
        <w:tc>
          <w:tcPr>
            <w:tcW w:w="7041" w:type="dxa"/>
            <w:tcBorders>
              <w:top w:val="double" w:sz="4" w:space="0" w:color="auto"/>
              <w:left w:val="single" w:sz="4" w:space="0" w:color="auto"/>
              <w:bottom w:val="single" w:sz="4" w:space="0" w:color="auto"/>
              <w:right w:val="single" w:sz="4" w:space="0" w:color="auto"/>
            </w:tcBorders>
            <w:vAlign w:val="center"/>
          </w:tcPr>
          <w:p w:rsidR="00EC0DFC" w:rsidRPr="00CA393B" w:rsidRDefault="00EC0DFC" w:rsidP="00447D06">
            <w:pPr>
              <w:jc w:val="both"/>
              <w:rPr>
                <w:b/>
                <w:lang w:val="ro-RO"/>
              </w:rPr>
            </w:pPr>
          </w:p>
        </w:tc>
      </w:tr>
      <w:tr w:rsidR="00EC0DFC" w:rsidRPr="009B09EC" w:rsidTr="00EC0DFC">
        <w:trPr>
          <w:trHeight w:val="526"/>
        </w:trPr>
        <w:tc>
          <w:tcPr>
            <w:tcW w:w="7560" w:type="dxa"/>
            <w:tcBorders>
              <w:top w:val="doub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1.1. Se verifică datele privind denumirea şi sediul furnizorului de educaţie.</w:t>
            </w:r>
          </w:p>
          <w:p w:rsidR="00EC0DFC" w:rsidRPr="00CA393B" w:rsidRDefault="00EC0DFC" w:rsidP="006E2965">
            <w:pPr>
              <w:rPr>
                <w:lang w:val="ro-RO"/>
              </w:rPr>
            </w:pPr>
            <w:r w:rsidRPr="00CA393B">
              <w:rPr>
                <w:i/>
                <w:lang w:val="ro-RO"/>
              </w:rPr>
              <w:t>Conforme/Neconforme</w:t>
            </w:r>
            <w:r w:rsidRPr="00CA393B">
              <w:rPr>
                <w:lang w:val="ro-RO"/>
              </w:rPr>
              <w:t xml:space="preserve"> cu Raportul de autoevaluare.</w:t>
            </w:r>
          </w:p>
          <w:p w:rsidR="00EC0DFC" w:rsidRPr="00CA393B" w:rsidRDefault="00EC0DFC" w:rsidP="006E2965">
            <w:pPr>
              <w:jc w:val="both"/>
              <w:rPr>
                <w:i/>
                <w:sz w:val="28"/>
                <w:lang w:val="ro-RO"/>
              </w:rPr>
            </w:pPr>
            <w:r w:rsidRPr="00CA393B">
              <w:rPr>
                <w:lang w:val="ro-RO"/>
              </w:rPr>
              <w:t>Observaţii suplimentare referitoare la alte locaţii unde se desfăşoară activităţi didactice, in localitatea unde instituţia îşi are sediul sau în alte localităţi; se verifică şi statutul juridic al acestora.</w:t>
            </w:r>
          </w:p>
        </w:tc>
        <w:tc>
          <w:tcPr>
            <w:tcW w:w="7041" w:type="dxa"/>
            <w:tcBorders>
              <w:top w:val="double" w:sz="4" w:space="0" w:color="auto"/>
              <w:left w:val="single" w:sz="4" w:space="0" w:color="auto"/>
              <w:bottom w:val="single" w:sz="4" w:space="0" w:color="auto"/>
              <w:right w:val="single" w:sz="4" w:space="0" w:color="auto"/>
            </w:tcBorders>
            <w:vAlign w:val="center"/>
          </w:tcPr>
          <w:p w:rsidR="00EC0DFC" w:rsidRPr="00CA393B" w:rsidRDefault="00EC0DFC" w:rsidP="00447D06">
            <w:pPr>
              <w:jc w:val="both"/>
              <w:rPr>
                <w:lang w:val="ro-RO"/>
              </w:rPr>
            </w:pPr>
          </w:p>
        </w:tc>
      </w:tr>
      <w:tr w:rsidR="00EC0DFC" w:rsidRPr="00DD6442" w:rsidTr="00EC0DFC">
        <w:trPr>
          <w:trHeight w:val="526"/>
        </w:trPr>
        <w:tc>
          <w:tcPr>
            <w:tcW w:w="7560" w:type="dxa"/>
            <w:tcBorders>
              <w:top w:val="doub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i/>
                <w:sz w:val="28"/>
                <w:lang w:val="ro-RO"/>
              </w:rPr>
            </w:pPr>
            <w:r w:rsidRPr="00CA393B">
              <w:rPr>
                <w:b/>
                <w:i/>
                <w:sz w:val="28"/>
                <w:lang w:val="ro-RO"/>
              </w:rPr>
              <w:t>1.2. Se verifică datele raportate privind misiunea(ile) didactică(e) şi de cercetare, pentru toate programele de studii oferite. Ciclurile universitare de Masterat  şi Doctorat se organizează numai de instituţiile de învăţământ superior acreditate in cadrul domeniilor de licenţă acreditate. Dacă</w:t>
            </w:r>
            <w:r w:rsidRPr="00CA393B">
              <w:rPr>
                <w:i/>
                <w:sz w:val="28"/>
                <w:lang w:val="ro-RO"/>
              </w:rPr>
              <w:t xml:space="preserve"> </w:t>
            </w:r>
            <w:r w:rsidRPr="00CA393B">
              <w:rPr>
                <w:b/>
                <w:i/>
                <w:sz w:val="28"/>
                <w:lang w:val="ro-RO"/>
              </w:rPr>
              <w:t>se constată că în instituţie funcţionează specializări neautorizate  în conformitate cu reglementările în vigoare,</w:t>
            </w:r>
            <w:r w:rsidRPr="00CA393B">
              <w:rPr>
                <w:i/>
                <w:sz w:val="28"/>
                <w:lang w:val="ro-RO"/>
              </w:rPr>
              <w:t xml:space="preserve"> </w:t>
            </w:r>
            <w:r w:rsidRPr="00CA393B">
              <w:rPr>
                <w:b/>
                <w:i/>
                <w:sz w:val="28"/>
                <w:lang w:val="ro-RO"/>
              </w:rPr>
              <w:t>procesul de evaluare se sistează.</w:t>
            </w:r>
            <w:r w:rsidRPr="00CA393B">
              <w:rPr>
                <w:i/>
                <w:sz w:val="28"/>
                <w:lang w:val="ro-RO"/>
              </w:rPr>
              <w:t xml:space="preserve"> </w:t>
            </w:r>
          </w:p>
          <w:p w:rsidR="00EC0DFC" w:rsidRPr="00CA393B" w:rsidRDefault="00EC0DFC" w:rsidP="006E2965">
            <w:pPr>
              <w:rPr>
                <w:lang w:val="ro-RO"/>
              </w:rPr>
            </w:pPr>
            <w:r w:rsidRPr="00CA393B">
              <w:rPr>
                <w:lang w:val="ro-RO"/>
              </w:rPr>
              <w:t>Misiune(i) didactică(e) bine precizată(e).</w:t>
            </w:r>
          </w:p>
          <w:p w:rsidR="00EC0DFC" w:rsidRPr="00CA393B" w:rsidRDefault="00EC0DFC" w:rsidP="006E2965">
            <w:pPr>
              <w:rPr>
                <w:lang w:val="ro-RO"/>
              </w:rPr>
            </w:pPr>
            <w:r w:rsidRPr="00CA393B">
              <w:rPr>
                <w:lang w:val="ro-RO"/>
              </w:rPr>
              <w:t>Misiune(i) de cercetare bine precizată (e).</w:t>
            </w:r>
          </w:p>
          <w:p w:rsidR="00EC0DFC" w:rsidRPr="00CA393B" w:rsidRDefault="00EC0DFC" w:rsidP="006E2965">
            <w:pPr>
              <w:jc w:val="both"/>
              <w:rPr>
                <w:i/>
                <w:sz w:val="28"/>
                <w:lang w:val="ro-RO"/>
              </w:rPr>
            </w:pPr>
            <w:r w:rsidRPr="00CA393B">
              <w:rPr>
                <w:lang w:val="ro-RO"/>
              </w:rPr>
              <w:t>Constatări privind programele de studii.</w:t>
            </w:r>
          </w:p>
        </w:tc>
        <w:tc>
          <w:tcPr>
            <w:tcW w:w="7041" w:type="dxa"/>
            <w:tcBorders>
              <w:top w:val="double" w:sz="4" w:space="0" w:color="auto"/>
              <w:left w:val="single" w:sz="4" w:space="0" w:color="auto"/>
              <w:bottom w:val="single" w:sz="4" w:space="0" w:color="auto"/>
              <w:right w:val="single" w:sz="4" w:space="0" w:color="auto"/>
            </w:tcBorders>
            <w:vAlign w:val="center"/>
          </w:tcPr>
          <w:p w:rsidR="00EC0DFC" w:rsidRPr="00CA393B" w:rsidRDefault="00EC0DFC" w:rsidP="00370586">
            <w:pPr>
              <w:ind w:left="360"/>
              <w:rPr>
                <w:b/>
                <w:sz w:val="28"/>
                <w:highlight w:val="yellow"/>
                <w:lang w:val="ro-RO"/>
              </w:rPr>
            </w:pPr>
          </w:p>
        </w:tc>
      </w:tr>
      <w:tr w:rsidR="00EC0DFC" w:rsidRPr="00CA393B" w:rsidTr="00EC0DFC">
        <w:trPr>
          <w:trHeight w:val="753"/>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lastRenderedPageBreak/>
              <w:t>CARTA UNIVERSITARĂ ŞI REGULAMENTELE SPECIFICATE PRIN CARTĂ</w:t>
            </w:r>
          </w:p>
          <w:p w:rsidR="00EC0DFC" w:rsidRPr="00CA393B" w:rsidRDefault="00EC0DFC" w:rsidP="006E2965">
            <w:pPr>
              <w:jc w:val="center"/>
              <w:rPr>
                <w:b/>
                <w:i/>
                <w:sz w:val="28"/>
                <w:highlight w:val="yellow"/>
                <w:lang w:val="ro-RO"/>
              </w:rPr>
            </w:pPr>
            <w:r w:rsidRPr="00CA393B">
              <w:rPr>
                <w:sz w:val="20"/>
                <w:lang w:val="ro-RO"/>
              </w:rPr>
              <w:t>(COMISIA DE EVALUARE INSTITUŢIONALĂ PENTRU ACTIVITĂŢI MANAGERIALE ŞI FINANCIARE)</w:t>
            </w:r>
          </w:p>
        </w:tc>
      </w:tr>
      <w:tr w:rsidR="00EC0DFC" w:rsidRPr="009B09EC" w:rsidTr="00EC0DFC">
        <w:trPr>
          <w:trHeight w:val="1544"/>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2. Se verifică existenţa Cartei universitare</w:t>
            </w:r>
          </w:p>
          <w:p w:rsidR="00EC0DFC" w:rsidRPr="00CA393B" w:rsidRDefault="00EC0DFC" w:rsidP="006E2965">
            <w:pPr>
              <w:rPr>
                <w:lang w:val="ro-RO"/>
              </w:rPr>
            </w:pPr>
            <w:r w:rsidRPr="00CA393B">
              <w:rPr>
                <w:lang w:val="ro-RO"/>
              </w:rPr>
              <w:t xml:space="preserve">Carta universitară </w:t>
            </w:r>
            <w:r w:rsidRPr="00CA393B">
              <w:rPr>
                <w:i/>
                <w:lang w:val="ro-RO"/>
              </w:rPr>
              <w:t>există/ nu există</w:t>
            </w:r>
            <w:r w:rsidRPr="00CA393B">
              <w:rPr>
                <w:lang w:val="ro-RO"/>
              </w:rPr>
              <w:t xml:space="preserve">; </w:t>
            </w:r>
            <w:r w:rsidRPr="00CA393B">
              <w:rPr>
                <w:i/>
                <w:lang w:val="ro-RO"/>
              </w:rPr>
              <w:t xml:space="preserve">respectă/nu respectă </w:t>
            </w:r>
            <w:r w:rsidRPr="00CA393B">
              <w:rPr>
                <w:lang w:val="ro-RO"/>
              </w:rPr>
              <w:t>reglementările în vigoare; constatări, comentarii explicative</w:t>
            </w:r>
          </w:p>
          <w:p w:rsidR="00EC0DFC" w:rsidRPr="00CA393B" w:rsidRDefault="00EC0DFC" w:rsidP="006E2965">
            <w:pPr>
              <w:jc w:val="both"/>
              <w:rPr>
                <w:b/>
                <w:i/>
                <w:sz w:val="28"/>
                <w:lang w:val="ro-RO"/>
              </w:rPr>
            </w:pP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D02515">
            <w:pPr>
              <w:jc w:val="both"/>
              <w:rPr>
                <w:sz w:val="20"/>
                <w:lang w:val="ro-RO"/>
              </w:rPr>
            </w:pPr>
          </w:p>
        </w:tc>
      </w:tr>
      <w:tr w:rsidR="00EC0DFC" w:rsidRPr="009B09EC" w:rsidTr="00EC0DFC">
        <w:trPr>
          <w:trHeight w:val="2145"/>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2.1.</w:t>
            </w:r>
            <w:r>
              <w:rPr>
                <w:b/>
                <w:i/>
                <w:sz w:val="28"/>
                <w:lang w:val="ro-RO"/>
              </w:rPr>
              <w:t xml:space="preserve"> </w:t>
            </w:r>
            <w:r w:rsidRPr="00CA393B">
              <w:rPr>
                <w:b/>
                <w:i/>
                <w:sz w:val="28"/>
                <w:lang w:val="ro-RO"/>
              </w:rPr>
              <w:t>Se verifica existenţa regulamentelor şi a tuturor anexelor specificate prin Carta universitară.</w:t>
            </w:r>
          </w:p>
          <w:p w:rsidR="00EC0DFC" w:rsidRPr="00CA393B" w:rsidRDefault="00EC0DFC" w:rsidP="006E2965">
            <w:pPr>
              <w:rPr>
                <w:i/>
                <w:lang w:val="ro-RO"/>
              </w:rPr>
            </w:pPr>
            <w:r w:rsidRPr="00CA393B">
              <w:rPr>
                <w:lang w:val="ro-RO"/>
              </w:rPr>
              <w:t xml:space="preserve">Regulamentele </w:t>
            </w:r>
            <w:r w:rsidRPr="00CA393B">
              <w:rPr>
                <w:i/>
                <w:lang w:val="ro-RO"/>
              </w:rPr>
              <w:t>există</w:t>
            </w:r>
            <w:r w:rsidRPr="00CA393B">
              <w:rPr>
                <w:lang w:val="ro-RO"/>
              </w:rPr>
              <w:t>/</w:t>
            </w:r>
            <w:r w:rsidRPr="00CA393B">
              <w:rPr>
                <w:i/>
                <w:lang w:val="ro-RO"/>
              </w:rPr>
              <w:t>nu există;</w:t>
            </w:r>
          </w:p>
          <w:p w:rsidR="00EC0DFC" w:rsidRPr="00CA393B" w:rsidRDefault="00EC0DFC" w:rsidP="006E2965">
            <w:pPr>
              <w:jc w:val="both"/>
              <w:rPr>
                <w:i/>
                <w:lang w:val="ro-RO"/>
              </w:rPr>
            </w:pPr>
            <w:r w:rsidRPr="00CA393B">
              <w:rPr>
                <w:lang w:val="ro-RO"/>
              </w:rPr>
              <w:t xml:space="preserve">Regulamentele există dar au în conţinut prevederi care </w:t>
            </w:r>
            <w:r w:rsidRPr="00CA393B">
              <w:rPr>
                <w:i/>
                <w:lang w:val="ro-RO"/>
              </w:rPr>
              <w:t>nu sunt</w:t>
            </w:r>
            <w:r w:rsidRPr="00CA393B">
              <w:rPr>
                <w:lang w:val="ro-RO"/>
              </w:rPr>
              <w:t xml:space="preserve"> în conformitate cu reglementările legale în vigoare (detalii) (DA – se vor menţiona/NU)</w:t>
            </w:r>
            <w:r>
              <w:rPr>
                <w:lang w:val="ro-RO"/>
              </w:rPr>
              <w:t xml:space="preserve"> </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7C61C9">
            <w:pPr>
              <w:jc w:val="both"/>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2.2. Se verifică existenţa Regulamentului de Ordine Interioară (sau a unui regulament cu conţinut echivalent dar cu o denumire diferită)</w:t>
            </w:r>
          </w:p>
          <w:p w:rsidR="00EC0DFC" w:rsidRPr="00CA393B" w:rsidRDefault="00EC0DFC" w:rsidP="006E2965">
            <w:pPr>
              <w:rPr>
                <w:i/>
                <w:lang w:val="ro-RO"/>
              </w:rPr>
            </w:pPr>
            <w:r w:rsidRPr="00CA393B">
              <w:rPr>
                <w:lang w:val="ro-RO"/>
              </w:rPr>
              <w:t xml:space="preserve">Regulamentul </w:t>
            </w:r>
            <w:r w:rsidRPr="00CA393B">
              <w:rPr>
                <w:i/>
                <w:lang w:val="ro-RO"/>
              </w:rPr>
              <w:t>există</w:t>
            </w:r>
            <w:r w:rsidRPr="00CA393B">
              <w:rPr>
                <w:lang w:val="ro-RO"/>
              </w:rPr>
              <w:t>/</w:t>
            </w:r>
            <w:r w:rsidRPr="00CA393B">
              <w:rPr>
                <w:i/>
                <w:lang w:val="ro-RO"/>
              </w:rPr>
              <w:t>nu există;</w:t>
            </w:r>
          </w:p>
          <w:p w:rsidR="00EC0DFC" w:rsidRPr="00CA393B" w:rsidRDefault="00EC0DFC" w:rsidP="006E2965">
            <w:pPr>
              <w:jc w:val="both"/>
              <w:rPr>
                <w:i/>
                <w:lang w:val="ro-RO"/>
              </w:rPr>
            </w:pPr>
            <w:r w:rsidRPr="00CA393B">
              <w:rPr>
                <w:lang w:val="ro-RO"/>
              </w:rPr>
              <w:t xml:space="preserve">Regulamentul există dar are în conţinut prevederi care </w:t>
            </w:r>
            <w:r w:rsidRPr="00CA393B">
              <w:rPr>
                <w:i/>
                <w:lang w:val="ro-RO"/>
              </w:rPr>
              <w:t>nu sunt</w:t>
            </w:r>
            <w:r w:rsidRPr="00CA393B">
              <w:rPr>
                <w:lang w:val="ro-RO"/>
              </w:rPr>
              <w:t xml:space="preserve"> în conformitate cu reglementările legale în vigoare (detalii) (DA – se vor menţiona/NU)</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A22816">
            <w:pPr>
              <w:jc w:val="both"/>
              <w:rPr>
                <w:sz w:val="28"/>
                <w:highlight w:val="yellow"/>
                <w:lang w:val="ro-RO"/>
              </w:rPr>
            </w:pPr>
          </w:p>
        </w:tc>
      </w:tr>
      <w:tr w:rsidR="00EC0DFC" w:rsidRPr="009B09EC" w:rsidTr="00EC0DFC">
        <w:trPr>
          <w:trHeight w:val="1479"/>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2.3. Se verifică existenţa Regulamentului pentru activitatea profesională a studenţilor</w:t>
            </w:r>
          </w:p>
          <w:p w:rsidR="00EC0DFC" w:rsidRPr="00CA393B" w:rsidRDefault="00EC0DFC" w:rsidP="006E2965">
            <w:pPr>
              <w:jc w:val="both"/>
              <w:rPr>
                <w:i/>
                <w:lang w:val="ro-RO"/>
              </w:rPr>
            </w:pPr>
            <w:r w:rsidRPr="00CA393B">
              <w:rPr>
                <w:lang w:val="ro-RO"/>
              </w:rPr>
              <w:t xml:space="preserve">În regulament </w:t>
            </w:r>
            <w:r w:rsidRPr="00CA393B">
              <w:rPr>
                <w:i/>
                <w:lang w:val="ro-RO"/>
              </w:rPr>
              <w:t>sunt/nu sunt</w:t>
            </w:r>
            <w:r w:rsidRPr="00CA393B">
              <w:rPr>
                <w:lang w:val="ro-RO"/>
              </w:rPr>
              <w:t xml:space="preserve"> respectate prevederile parag. 4.2 , subcap. 4, lit. a,b, g, h din Metodologie; constatări, comentarii explicative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0F4712">
            <w:pPr>
              <w:rPr>
                <w:sz w:val="28"/>
                <w:lang w:val="ro-RO"/>
              </w:rPr>
            </w:pPr>
          </w:p>
        </w:tc>
      </w:tr>
      <w:tr w:rsidR="00EC0DFC" w:rsidRPr="00CA393B" w:rsidTr="00EC0DFC">
        <w:trPr>
          <w:trHeight w:val="691"/>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lastRenderedPageBreak/>
              <w:t>CONDUCEREA INSTITUŢIEI, STRUCTURI MANAGERIALE</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w:t>
            </w: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3. În  instituţia de învăţământ superior au fost respectate dispoziţiile legale pentru alegerea organelor colective de conducere (consiliul facultăţii şi senat) precum şi a cadrelor de conducere.</w:t>
            </w:r>
          </w:p>
          <w:p w:rsidR="00EC0DFC" w:rsidRPr="00CA393B" w:rsidRDefault="00EC0DFC" w:rsidP="006E2965">
            <w:pPr>
              <w:rPr>
                <w:lang w:val="ro-RO"/>
              </w:rPr>
            </w:pPr>
            <w:r w:rsidRPr="00CA393B">
              <w:rPr>
                <w:i/>
                <w:lang w:val="ro-RO"/>
              </w:rPr>
              <w:t>Sunt/nu sunt</w:t>
            </w:r>
            <w:r w:rsidRPr="00CA393B">
              <w:rPr>
                <w:lang w:val="ro-RO"/>
              </w:rPr>
              <w:t xml:space="preserve"> respectate prevederile parag. 4.2 , subcap. 8, lit. a, din Metodologie; constatări, comentarii explicative</w:t>
            </w:r>
          </w:p>
          <w:p w:rsidR="00EC0DFC" w:rsidRPr="00CA393B" w:rsidRDefault="00EC0DFC" w:rsidP="006E2965">
            <w:pPr>
              <w:jc w:val="both"/>
              <w:rPr>
                <w:b/>
                <w:i/>
                <w:sz w:val="28"/>
                <w:lang w:val="ro-RO"/>
              </w:rPr>
            </w:pPr>
            <w:r w:rsidRPr="00CA393B">
              <w:rPr>
                <w:lang w:val="ro-RO"/>
              </w:rPr>
              <w:t xml:space="preserve">Rectorul </w:t>
            </w:r>
            <w:r w:rsidRPr="00CA393B">
              <w:rPr>
                <w:i/>
                <w:lang w:val="ro-RO"/>
              </w:rPr>
              <w:t>a fost/nu a fost confirmat</w:t>
            </w:r>
            <w:r w:rsidRPr="00CA393B">
              <w:rPr>
                <w:lang w:val="ro-RO"/>
              </w:rPr>
              <w:t xml:space="preserve"> de MEdC prin Ordinul ministrului (nr......./data......)</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1C779E">
            <w:pPr>
              <w:rPr>
                <w:b/>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3.1. Personalul de conducere al instituţiei de învăţământ superior (rector, prorector, decan, prodecan precum şi şefii de catedră) este format din cadre didactice titularizate în învăţământul superior, cu norma de bază la instituţie, respectiv structura internă de conducere la care funcţionează, sunt profesori sau conferenţiari universitari titulari şi nu se află în condiţii de rezervare a postului.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A413DA">
            <w:pPr>
              <w:rPr>
                <w:sz w:val="28"/>
                <w:highlight w:val="yellow"/>
                <w:lang w:val="ro-RO"/>
              </w:rPr>
            </w:pPr>
          </w:p>
        </w:tc>
      </w:tr>
      <w:tr w:rsidR="00EC0DFC" w:rsidRPr="009B09EC" w:rsidTr="00EC0DFC">
        <w:trPr>
          <w:trHeight w:val="119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3.2. Se verifica dacă instituţia are o organigramă încadrată cu personal propriu care corespunde,  din punct de vedere al calificării profesionale, condiţiilor cerute pentru ocuparea posturilor prevăzute.</w:t>
            </w:r>
          </w:p>
          <w:p w:rsidR="00EC0DFC" w:rsidRPr="00CA393B" w:rsidRDefault="00EC0DFC" w:rsidP="006E2965">
            <w:pPr>
              <w:rPr>
                <w:lang w:val="ro-RO"/>
              </w:rPr>
            </w:pPr>
            <w:r w:rsidRPr="00CA393B">
              <w:rPr>
                <w:i/>
                <w:lang w:val="ro-RO"/>
              </w:rPr>
              <w:t xml:space="preserve">Există/ nu există </w:t>
            </w:r>
            <w:r w:rsidRPr="00CA393B">
              <w:rPr>
                <w:lang w:val="ro-RO"/>
              </w:rPr>
              <w:t>state de funcţiuni pentru personalul didactic</w:t>
            </w:r>
          </w:p>
          <w:p w:rsidR="00EC0DFC" w:rsidRPr="00CA393B" w:rsidRDefault="00EC0DFC" w:rsidP="00884CDE">
            <w:pPr>
              <w:rPr>
                <w:lang w:val="ro-RO"/>
              </w:rPr>
            </w:pPr>
            <w:r w:rsidRPr="00CA393B">
              <w:rPr>
                <w:i/>
                <w:lang w:val="ro-RO"/>
              </w:rPr>
              <w:t>Există/ nu există</w:t>
            </w:r>
            <w:r w:rsidRPr="00CA393B">
              <w:rPr>
                <w:lang w:val="ro-RO"/>
              </w:rPr>
              <w:t xml:space="preserve"> state de funcţiuni pentru personalul administrativ</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rPr>
                <w:b/>
                <w:sz w:val="28"/>
                <w:lang w:val="ro-RO"/>
              </w:rPr>
            </w:pPr>
            <w:r w:rsidRPr="00CA393B">
              <w:rPr>
                <w:b/>
                <w:sz w:val="28"/>
                <w:lang w:val="ro-RO"/>
              </w:rPr>
              <w:t>Numai pentru obţinerea autorizaţiei de funcţionare provizorie şi a acreditării.</w:t>
            </w:r>
            <w:r>
              <w:rPr>
                <w:b/>
                <w:sz w:val="28"/>
                <w:lang w:val="ro-RO"/>
              </w:rPr>
              <w:t xml:space="preserve">  </w:t>
            </w:r>
          </w:p>
          <w:p w:rsidR="00EC0DFC" w:rsidRPr="00CA393B" w:rsidRDefault="00EC0DFC" w:rsidP="00C91F57">
            <w:pPr>
              <w:rPr>
                <w:b/>
                <w:sz w:val="28"/>
                <w:lang w:val="ro-RO"/>
              </w:rPr>
            </w:pPr>
            <w:r w:rsidRPr="00CA393B">
              <w:rPr>
                <w:lang w:val="ro-RO"/>
              </w:rPr>
              <w:t xml:space="preserve"> </w:t>
            </w: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3.3 Se verifică dacă biblioteca este încadrată cu personal cu studii superioare de biblioteconomie sau filologie.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3A519A">
            <w:pPr>
              <w:rPr>
                <w:b/>
                <w:sz w:val="28"/>
                <w:lang w:val="ro-RO"/>
              </w:rPr>
            </w:pPr>
          </w:p>
        </w:tc>
      </w:tr>
      <w:tr w:rsidR="00EC0DFC" w:rsidRPr="00CA393B" w:rsidTr="00EC0DFC">
        <w:trPr>
          <w:trHeight w:val="1086"/>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lastRenderedPageBreak/>
              <w:t>PERSONALUL DIDACTIC</w:t>
            </w:r>
          </w:p>
          <w:p w:rsidR="00EC0DFC" w:rsidRPr="00CA393B" w:rsidRDefault="00EC0DFC" w:rsidP="006E2965">
            <w:pPr>
              <w:jc w:val="center"/>
              <w:rPr>
                <w:sz w:val="20"/>
                <w:lang w:val="ro-RO"/>
              </w:rPr>
            </w:pPr>
            <w:r w:rsidRPr="00CA393B">
              <w:rPr>
                <w:sz w:val="20"/>
                <w:lang w:val="ro-RO"/>
              </w:rPr>
              <w:t>(COMISIILE PE DOMENII/PROGRAME şi COMISIA DE EVALUARE INSTITUŢIONALĂ PENTRU ACTIVITĂŢI MANAGERIALE ŞI FINANCIARE)</w:t>
            </w: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 Se verifică respectarea condiţiilor legale pentru publicarea şi ocuparea prin concurs a posturilor didactice.</w:t>
            </w:r>
          </w:p>
          <w:p w:rsidR="00EC0DFC" w:rsidRPr="00CA393B" w:rsidRDefault="00EC0DFC" w:rsidP="006E2965">
            <w:pPr>
              <w:jc w:val="both"/>
              <w:rPr>
                <w:i/>
                <w:lang w:val="ro-RO"/>
              </w:rPr>
            </w:pPr>
            <w:r w:rsidRPr="00CA393B">
              <w:rPr>
                <w:lang w:val="ro-RO"/>
              </w:rPr>
              <w:t xml:space="preserve">Condiţiile </w:t>
            </w:r>
            <w:r w:rsidRPr="00CA393B">
              <w:rPr>
                <w:i/>
                <w:lang w:val="ro-RO"/>
              </w:rPr>
              <w:t>au fost/nu au fost</w:t>
            </w:r>
            <w:r w:rsidRPr="00CA393B">
              <w:rPr>
                <w:lang w:val="ro-RO"/>
              </w:rPr>
              <w:t xml:space="preserve"> respectate, posturile sunt/nu sunt încadrate cu personal propriu care </w:t>
            </w:r>
            <w:r w:rsidRPr="00CA393B">
              <w:rPr>
                <w:i/>
                <w:lang w:val="ro-RO"/>
              </w:rPr>
              <w:t>corespunde/nu corespunde</w:t>
            </w:r>
            <w:r w:rsidRPr="00CA393B">
              <w:rPr>
                <w:lang w:val="ro-RO"/>
              </w:rPr>
              <w:t xml:space="preserve"> din punct de vedere al calificării profesionale condiţiilor cerute pentru ocuparea posturilor prevăzute în statele de funcţiuni; constatări, date care susţin constatările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ED34D5" w:rsidRDefault="00EC0DFC" w:rsidP="00C82220">
            <w:pPr>
              <w:jc w:val="both"/>
              <w:rPr>
                <w:b/>
                <w:color w:val="000000" w:themeColor="text1"/>
                <w:sz w:val="28"/>
                <w:lang w:val="ro-RO"/>
              </w:rPr>
            </w:pPr>
          </w:p>
        </w:tc>
      </w:tr>
      <w:tr w:rsidR="00EC0DFC" w:rsidRPr="00672AA1"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4.1. Personalul didactic, respectiv personalul care desfăşoară activităţi didactice in instituţia evaluată, îndeplineşte cerinţele legale pentru ocuparea posturilor didactice.</w:t>
            </w:r>
          </w:p>
          <w:p w:rsidR="00EC0DFC" w:rsidRPr="00CA393B" w:rsidRDefault="00EC0DFC" w:rsidP="006E2965">
            <w:pPr>
              <w:jc w:val="both"/>
              <w:rPr>
                <w:i/>
                <w:lang w:val="ro-RO"/>
              </w:rPr>
            </w:pPr>
            <w:r w:rsidRPr="00CA393B">
              <w:rPr>
                <w:lang w:val="ro-RO"/>
              </w:rPr>
              <w:t xml:space="preserve">Condiţiile </w:t>
            </w:r>
            <w:r w:rsidRPr="00CA393B">
              <w:rPr>
                <w:i/>
                <w:lang w:val="ro-RO"/>
              </w:rPr>
              <w:t>au fost/nu au fost</w:t>
            </w:r>
            <w:r w:rsidRPr="00CA393B">
              <w:rPr>
                <w:lang w:val="ro-RO"/>
              </w:rPr>
              <w:t xml:space="preserve"> respectate, posturile sunt/nu sunt încadrate cu personal corespunzător cerinţei. Se vor da exemple, după caz.</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ED34D5" w:rsidRDefault="00EC0DFC" w:rsidP="00ED34D5">
            <w:pPr>
              <w:rPr>
                <w:color w:val="000000" w:themeColor="text1"/>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szCs w:val="24"/>
                <w:lang w:val="ro-RO"/>
              </w:rPr>
            </w:pPr>
            <w:r w:rsidRPr="00CA393B">
              <w:rPr>
                <w:b/>
                <w:i/>
                <w:sz w:val="28"/>
                <w:szCs w:val="24"/>
                <w:lang w:val="ro-RO"/>
              </w:rPr>
              <w:t>4.2. Se verifică situaţia personalului didactic titularizat în instituţie, cu funcţia de bază.</w:t>
            </w:r>
          </w:p>
          <w:p w:rsidR="00EC0DFC" w:rsidRPr="00CA393B" w:rsidRDefault="00EC0DFC" w:rsidP="006E2965">
            <w:pPr>
              <w:jc w:val="both"/>
              <w:rPr>
                <w:i/>
                <w:szCs w:val="24"/>
                <w:lang w:val="ro-RO"/>
              </w:rPr>
            </w:pPr>
            <w:r w:rsidRPr="00CA393B">
              <w:rPr>
                <w:szCs w:val="24"/>
                <w:lang w:val="ro-RO"/>
              </w:rPr>
              <w:t>Se ia în considerare pentru o singură normă didactică constituită conform legii; se va întocmi situaţia statistică, pentru verificarea menţinerii condiţiilor in care s-a acordat acreditarea</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E437FD">
            <w:pPr>
              <w:rPr>
                <w:szCs w:val="24"/>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4.3 Se verifică dacă personalul didactic titularizat în învăţământul superior acoperă într-un an universitar cel mult trei norme didactice, indiferent de instituţia de învăţământ superior în care îşi desfăşoară activitatea.</w:t>
            </w:r>
          </w:p>
          <w:p w:rsidR="00EC0DFC" w:rsidRPr="00CA393B" w:rsidRDefault="00EC0DFC" w:rsidP="006E2965">
            <w:pPr>
              <w:jc w:val="both"/>
              <w:rPr>
                <w:i/>
                <w:lang w:val="ro-RO"/>
              </w:rPr>
            </w:pPr>
            <w:r w:rsidRPr="00CA393B">
              <w:rPr>
                <w:lang w:val="ro-RO"/>
              </w:rPr>
              <w:t>Dacă se constată neîndeplinirea cerinţei, se vor prezenta toate situaţiile constatate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996D76">
            <w:pPr>
              <w:rPr>
                <w:sz w:val="28"/>
                <w:highlight w:val="yellow"/>
                <w:lang w:val="ro-RO"/>
              </w:rPr>
            </w:pPr>
          </w:p>
        </w:tc>
      </w:tr>
      <w:tr w:rsidR="00EC0DFC" w:rsidRPr="009B09EC" w:rsidTr="00EC0DFC">
        <w:trPr>
          <w:trHeight w:val="1208"/>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4.4. Se verifică dacă personalul didactic titularizat în învăţământul superior conform legii, pensionat la limita de vârstă sau din alte motive, şi care desfăşoară activităţi didactice în calitate de cadru didactic asociat, acoperă cel mult o normă didactică in instituţia respectivă de învăţământ.</w:t>
            </w:r>
          </w:p>
          <w:p w:rsidR="00EC0DFC" w:rsidRPr="00CA393B" w:rsidRDefault="00EC0DFC" w:rsidP="006E2965">
            <w:pPr>
              <w:jc w:val="both"/>
              <w:rPr>
                <w:i/>
                <w:lang w:val="ro-RO"/>
              </w:rPr>
            </w:pPr>
            <w:r w:rsidRPr="00CA393B">
              <w:rPr>
                <w:lang w:val="ro-RO"/>
              </w:rPr>
              <w:t>Dacă se constată neîndeplinirea cerinţei, se vor prezenta toate situaţiile constatate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A17FCF">
            <w:pPr>
              <w:rPr>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 xml:space="preserve">4.5. Pentru verificarea menţinerii condiţiilor in care s-a obţinut acreditarea se constată dacă la fiecare structură instituţională pentru fiecare program din ciclul de licenţă care duce la o calificare universitară distinctă, cel puţin 70% din totalul posturilor din statul de funcţii, constituite conform normativelor legale, sunt acoperite cu cadre didactice  cu norma de bază sau cu post rezervat, titularizate învăţământul superior conform normelor legale, iar dintre acestea cel puţin 25% sunt profesori şi conferenţiari universitari, dar nu mai mult de 50%. </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780AB2" w:rsidRDefault="00EC0DFC" w:rsidP="00780AB2">
            <w:pPr>
              <w:jc w:val="both"/>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4.6. Se verifică satisfacerea condiţiilor legale pentru ocuparea posturilor de către personalul didactic asociat care nu este titularizat în învăţământul superior.</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E13573">
            <w:pPr>
              <w:rPr>
                <w:sz w:val="28"/>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4.7. Se verifică cerinţa conform căreia cadrele didactice asociate au obligaţia de a face cunoscut, prin declaraţie scrisă, conducătorului instituţiei la care au funcţia de bază, precum şi celui la care sunt asociate, numărul de ore prestate prin asociere.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2A1077">
            <w:pPr>
              <w:rPr>
                <w:b/>
                <w:sz w:val="28"/>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4.8. Titularii de disciplină trebuie să aibă titlul ştiinţific de doctor sau să fie doctoranzi în domeniul disciplinelor din postul ocupat; celelalte cadre didactice trebuie să aibă pregătirea iniţială şi competenţe în domeniul disciplinei predate.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580DE0">
            <w:pPr>
              <w:rPr>
                <w:sz w:val="28"/>
                <w:lang w:val="ro-RO"/>
              </w:rPr>
            </w:pP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4.9. Persoanele care ocupă posturi de preparator sau asistent trebuie să aibă pregătire pedagogică atestată.</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7522F2">
            <w:pPr>
              <w:rPr>
                <w:lang w:val="ro-RO"/>
              </w:rPr>
            </w:pP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4.10. Instituţia de învăţământ superior trebuie să facă dovada că titularii de disciplină au elaborat cursuri şi alte lucrări necesare procesului de învăţământ care acoperă problematica disciplinei respective, prevăzută în programa analitică.</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DF5D9C">
            <w:pPr>
              <w:rPr>
                <w:lang w:val="ro-RO"/>
              </w:rPr>
            </w:pP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i/>
                <w:sz w:val="28"/>
                <w:lang w:val="ro-RO"/>
              </w:rPr>
              <w:t xml:space="preserve"> </w:t>
            </w:r>
            <w:r w:rsidRPr="00CA393B">
              <w:rPr>
                <w:b/>
                <w:i/>
                <w:sz w:val="28"/>
                <w:lang w:val="ro-RO"/>
              </w:rPr>
              <w:t>4.11. Se verifică modul în care instituţia asigură acoperirea pe cel puţin un ciclu de licenţă activităţile prevăzute la disciplinele din planul de învăţământ, cu cadre didactice competente.</w:t>
            </w:r>
          </w:p>
          <w:p w:rsidR="00EC0DFC" w:rsidRPr="00CA393B" w:rsidRDefault="00EC0DFC" w:rsidP="006E2965">
            <w:pPr>
              <w:jc w:val="both"/>
              <w:rPr>
                <w:b/>
                <w:i/>
                <w:highlight w:val="yellow"/>
                <w:lang w:val="ro-RO"/>
              </w:rPr>
            </w:pPr>
            <w:r w:rsidRPr="00CA393B">
              <w:rPr>
                <w:lang w:val="ro-RO"/>
              </w:rPr>
              <w:t>Pentru programele de studiu care sunt evaluate ca parte a procedurilor de evaluare externa instituţională</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965F46">
            <w:pPr>
              <w:rPr>
                <w:lang w:val="ro-RO"/>
              </w:rPr>
            </w:pPr>
          </w:p>
        </w:tc>
      </w:tr>
      <w:tr w:rsidR="00EC0DFC" w:rsidRPr="00CA393B" w:rsidTr="00EC0DFC">
        <w:trPr>
          <w:trHeight w:val="713"/>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rPr>
                <w:b/>
                <w:i/>
                <w:sz w:val="28"/>
                <w:lang w:val="ro-RO"/>
              </w:rPr>
            </w:pPr>
          </w:p>
          <w:p w:rsidR="00EC0DFC" w:rsidRPr="00CA393B" w:rsidRDefault="00EC0DFC" w:rsidP="006E2965">
            <w:pPr>
              <w:jc w:val="center"/>
              <w:rPr>
                <w:b/>
                <w:i/>
                <w:sz w:val="28"/>
                <w:lang w:val="ro-RO"/>
              </w:rPr>
            </w:pPr>
            <w:r w:rsidRPr="00CA393B">
              <w:rPr>
                <w:b/>
                <w:i/>
                <w:sz w:val="28"/>
                <w:lang w:val="ro-RO"/>
              </w:rPr>
              <w:t>BAZA MATERIALĂ</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 Şi COMISIILE PE DOMENII/PROGRAME)</w:t>
            </w: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 xml:space="preserve">5. Se verifică, prin  registrul de  inventar, dacă  instituţia de învăţământ superior dispune de  patrimoniul necesar desfăşurării unui proces de învăţământ de calitate, în concordanţă cu planurile de învăţământ şi numărul de studenţi. </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AC6858">
            <w:pPr>
              <w:jc w:val="both"/>
              <w:rPr>
                <w:szCs w:val="24"/>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962F6C">
            <w:pPr>
              <w:jc w:val="both"/>
              <w:rPr>
                <w:b/>
                <w:i/>
                <w:sz w:val="28"/>
                <w:lang w:val="ro-RO"/>
              </w:rPr>
            </w:pPr>
            <w:r w:rsidRPr="00CA393B">
              <w:rPr>
                <w:b/>
                <w:i/>
                <w:sz w:val="28"/>
                <w:lang w:val="ro-RO"/>
              </w:rPr>
              <w:lastRenderedPageBreak/>
              <w:t>5.1. Se verifică dacă numărul de locuri în sălile de curs, seminar şi laborator este corelat cu mărimea formaţiilor de studiu (serii, grupe, subgrupe etc.)conform normativelor MEdC.</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962F6C">
            <w:pPr>
              <w:rPr>
                <w:b/>
                <w:sz w:val="28"/>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5.2. Se verifică dacă se asigură desfăşurarea lucrărilor aplicative la disciplinele de specialitate din planurile de învăţământ în laboratoare dotate cu tehnică de calcul astfel încât, la nivelul unei formaţii de studiu, să existe un calculator la cel mult 2 studenţi pentru ciclul de licenţă şi un calculator pentru fiecare student, pentru ciclul de masterat.</w:t>
            </w:r>
          </w:p>
          <w:p w:rsidR="00EC0DFC" w:rsidRPr="00CA393B" w:rsidRDefault="00EC0DFC" w:rsidP="006E2965">
            <w:pPr>
              <w:jc w:val="both"/>
              <w:rPr>
                <w:i/>
                <w:lang w:val="ro-RO"/>
              </w:rPr>
            </w:pPr>
            <w:r w:rsidRPr="00CA393B">
              <w:rPr>
                <w:lang w:val="ro-RO"/>
              </w:rPr>
              <w:t>Cerinţa se verifică in corelare cu evaluarea programelor de studii - ca parte a procedurilor de evaluare externă instituţională; se va verifica şi  situaţia integrată pe instituţie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39747B">
            <w:pPr>
              <w:rPr>
                <w:color w:val="000000" w:themeColor="text1"/>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5.3. Se verifică existenţa bibliotecii (lor) dotată(e) cu sală (săli) de lectură şi fond de carte propriu corespunzător disciplinelor prevăzute în planurile de învăţământ pe cicluri de studii universitare (licenţă şi masterat).</w:t>
            </w:r>
          </w:p>
          <w:p w:rsidR="00EC0DFC" w:rsidRPr="00CA393B" w:rsidRDefault="00EC0DFC" w:rsidP="006E2965">
            <w:pPr>
              <w:jc w:val="both"/>
              <w:rPr>
                <w:i/>
                <w:lang w:val="ro-RO"/>
              </w:rPr>
            </w:pPr>
            <w:r w:rsidRPr="00CA393B">
              <w:rPr>
                <w:lang w:val="ro-RO"/>
              </w:rPr>
              <w:t>Cerinţa se verifică în corelare cu evaluarea programelor de studii - ca parte a procedurilor de evaluare externă instituţională; se va verifica şi  situaţia integrată pe instituţie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95213">
            <w:pPr>
              <w:tabs>
                <w:tab w:val="left" w:pos="0"/>
                <w:tab w:val="left" w:pos="720"/>
              </w:tabs>
              <w:jc w:val="both"/>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5.4. Se verifică existenţa în biblioteca(ile) instituţiei de învăţământ superior a unor spaţii de studiu cel puţin pentru 10% din numărul total al studenţilor.</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F052A4">
            <w:pPr>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 xml:space="preserve">5.5. Se verifică existenţa in biblioteca(ile) instituţiei de învăţământ superior a unui număr suficient de abonamente la </w:t>
            </w:r>
            <w:r w:rsidRPr="00CA393B">
              <w:rPr>
                <w:b/>
                <w:i/>
                <w:sz w:val="28"/>
                <w:lang w:val="ro-RO"/>
              </w:rPr>
              <w:lastRenderedPageBreak/>
              <w:t>publicaţii şi periodice româneşti şi străine, corespunzător misiunii(lor) asumate.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1A168B">
            <w:pPr>
              <w:rPr>
                <w:sz w:val="28"/>
                <w:lang w:val="ro-RO"/>
              </w:rPr>
            </w:pPr>
          </w:p>
        </w:tc>
      </w:tr>
      <w:tr w:rsidR="00EC0DFC" w:rsidRPr="009B09EC" w:rsidTr="00EC0DFC">
        <w:trPr>
          <w:trHeight w:val="1763"/>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5.6. Se verifică dacă bibliotecile instituţiei de învăţământ asigură în sălile de lectură un număr de locuri corespunzător a cel puţin 10% din numărul total al studenţilor.</w:t>
            </w:r>
          </w:p>
          <w:p w:rsidR="00EC0DFC" w:rsidRPr="00CA393B" w:rsidRDefault="00EC0DFC" w:rsidP="006E2965">
            <w:pPr>
              <w:jc w:val="both"/>
              <w:rPr>
                <w:i/>
                <w:lang w:val="ro-RO"/>
              </w:rPr>
            </w:pPr>
            <w:r w:rsidRPr="00CA393B">
              <w:rPr>
                <w:lang w:val="ro-RO"/>
              </w:rPr>
              <w:t>Cerinţa se verifică în corelare cu orarul de funcţionare al bibliotecilor şi sălilor de lectură şi încadrarea cu personal.</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563C84">
            <w:pPr>
              <w:rPr>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5.7. Se verifică dacă instituţia dispune de soft-uri corespunzătoare disciplinelor de studiu din planurile de învăţământ, cu licenţe de utilizare.</w:t>
            </w:r>
          </w:p>
          <w:p w:rsidR="00EC0DFC" w:rsidRPr="00CA393B" w:rsidRDefault="00EC0DFC" w:rsidP="006E2965">
            <w:pPr>
              <w:jc w:val="both"/>
              <w:rPr>
                <w:i/>
                <w:lang w:val="ro-RO"/>
              </w:rPr>
            </w:pPr>
            <w:r w:rsidRPr="00CA393B">
              <w:rPr>
                <w:lang w:val="ro-RO"/>
              </w:rPr>
              <w:t>Cerinţa se verifică prin sondaj, pe domenii.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133BD0">
            <w:pPr>
              <w:jc w:val="both"/>
              <w:rPr>
                <w:b/>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5.8. Se verifică modul în care conducerea instituţiei de învăţământ superior asigură multiplicarea cursurilor şi celorlalte lucrări necesare procesului de învăţământ, elaborate de cadrele didactice, şi punerea lor la dispoziţia studenţilor într-un număr corespunzător.</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5545CB">
            <w:pPr>
              <w:rPr>
                <w:lang w:val="ro-RO"/>
              </w:rPr>
            </w:pPr>
          </w:p>
        </w:tc>
      </w:tr>
      <w:tr w:rsidR="00EC0DFC" w:rsidRPr="00672AA1"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5.9. Se verifică, prin documente de inventar dotarea laboratoarelor, corespunzătoare disciplinelor obligatorii din planurile de învăţământ care au prevăzute prin programa analitică activităţi de acest gen.</w:t>
            </w:r>
          </w:p>
          <w:p w:rsidR="00EC0DFC" w:rsidRPr="00CA393B" w:rsidRDefault="00EC0DFC" w:rsidP="006E2965">
            <w:pPr>
              <w:jc w:val="both"/>
              <w:rPr>
                <w:i/>
                <w:lang w:val="ro-RO"/>
              </w:rPr>
            </w:pPr>
            <w:r w:rsidRPr="00CA393B">
              <w:rPr>
                <w:lang w:val="ro-RO"/>
              </w:rPr>
              <w:t>Cerinţa se verifică in corelare cu evaluarea programelor de studii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2E2319">
            <w:pPr>
              <w:jc w:val="both"/>
              <w:rPr>
                <w:lang w:val="ro-RO"/>
              </w:rPr>
            </w:pP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 xml:space="preserve">6.  Se verifică dacă, după trei cicluri de şcolarizare ulterioare înfiinţării prin lege, instituţia de învăţământ superior dispune în proprietate de cel puţin 70% din spaţiile de învăţământ cu </w:t>
            </w:r>
            <w:r w:rsidRPr="00CA393B">
              <w:rPr>
                <w:b/>
                <w:i/>
                <w:sz w:val="28"/>
                <w:lang w:val="ro-RO"/>
              </w:rPr>
              <w:lastRenderedPageBreak/>
              <w:t>toate dotările necesare.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rPr>
                <w:sz w:val="28"/>
                <w:lang w:val="ro-RO"/>
              </w:rPr>
            </w:pPr>
          </w:p>
        </w:tc>
      </w:tr>
      <w:tr w:rsidR="00EC0DFC" w:rsidRPr="00CA393B" w:rsidTr="00EC0DFC">
        <w:trPr>
          <w:trHeight w:val="792"/>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lastRenderedPageBreak/>
              <w:t>ACTIVITATEA FINANCIARĂ</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w:t>
            </w: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tcPr>
          <w:p w:rsidR="00EC0DFC" w:rsidRPr="00CA393B" w:rsidRDefault="00EC0DFC" w:rsidP="006E2965">
            <w:pPr>
              <w:jc w:val="both"/>
              <w:rPr>
                <w:b/>
                <w:i/>
                <w:sz w:val="28"/>
                <w:lang w:val="ro-RO"/>
              </w:rPr>
            </w:pPr>
            <w:r w:rsidRPr="00CA393B">
              <w:rPr>
                <w:b/>
                <w:i/>
                <w:sz w:val="28"/>
                <w:lang w:val="ro-RO"/>
              </w:rPr>
              <w:t>7. Se verifică dacă au fost respectate condiţiile legale pentru încadrarea cu personal calificat a compartimentelor financiar – contabile iar Contabilul şef (directorul economic) are studii economice superioare.</w:t>
            </w:r>
          </w:p>
          <w:p w:rsidR="00EC0DFC" w:rsidRPr="00CA393B" w:rsidRDefault="00EC0DFC" w:rsidP="006E2965">
            <w:pPr>
              <w:jc w:val="both"/>
              <w:rPr>
                <w:lang w:val="ro-RO"/>
              </w:rPr>
            </w:pPr>
            <w:r w:rsidRPr="00CA393B">
              <w:rPr>
                <w:lang w:val="ro-RO"/>
              </w:rPr>
              <w:t>Dacă se constată neîndeplinirea cerinţei, se va prezenta situaţia identificată.</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3622F9">
            <w:pPr>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8. Se verifică dacă  instituţia de învăţământ superior dispune de buget propriu de venituri şi cheltuieli pentru activitatea de învăţământ superior, cod fiscal şi cont la bancă, altele decât cele ale fundaţiei sau asociaţiei în cadrul căreia funcţionează.</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B91350">
            <w:pPr>
              <w:rPr>
                <w:sz w:val="28"/>
                <w:lang w:val="ro-RO"/>
              </w:rPr>
            </w:pPr>
          </w:p>
        </w:tc>
      </w:tr>
      <w:tr w:rsidR="00EC0DFC" w:rsidRPr="009B09EC" w:rsidTr="00EC0DFC">
        <w:trPr>
          <w:trHeight w:val="2941"/>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9. Se verifica daca instituţia de învăţământ superior şi-a organizat contabilitate proprie, întocmeşte bilanţ contabil, cont de execuţie bugetară şi raport de gestiune propriu din care rezultă că cheltuielile efectuate sunt în concordanţă cu legislaţia în vigoare, veniturile încasate şi destinaţia lor, precum şi caracterul non-profit al instituţiei.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5E18A0">
            <w:pPr>
              <w:jc w:val="both"/>
              <w:rPr>
                <w:lang w:val="ro-RO"/>
              </w:rPr>
            </w:pPr>
          </w:p>
        </w:tc>
      </w:tr>
      <w:tr w:rsidR="00EC0DFC" w:rsidRPr="009B09EC" w:rsidTr="00EC0DFC">
        <w:trPr>
          <w:trHeight w:val="2330"/>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10. Se verifică dacă taxele şcolare ale studenţilor sunt calculate în concordanţă cu costurile medii de şcolarizare pe an universitar din învăţământul public finanţat de la buget la domeniile de licenţă sau masterat similare şi sunt aduse la cunoştinţa studenţilor prin diferite mijloace de comunicare.</w:t>
            </w:r>
          </w:p>
          <w:p w:rsidR="00EC0DFC" w:rsidRPr="00CA393B" w:rsidRDefault="00EC0DFC" w:rsidP="006E2965">
            <w:pPr>
              <w:jc w:val="both"/>
              <w:rPr>
                <w:i/>
                <w:lang w:val="ro-RO"/>
              </w:rPr>
            </w:pPr>
            <w:r w:rsidRPr="00CA393B">
              <w:rPr>
                <w:lang w:val="ro-RO"/>
              </w:rPr>
              <w:t>Se vor menţiona taxele de studiu practicate, pe domenii de licenţă şi masterat</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D4094A">
            <w:pPr>
              <w:jc w:val="both"/>
              <w:rPr>
                <w:lang w:val="ro-RO"/>
              </w:rPr>
            </w:pPr>
          </w:p>
        </w:tc>
      </w:tr>
      <w:tr w:rsidR="00EC0DFC" w:rsidRPr="009B09EC" w:rsidTr="00EC0DFC">
        <w:trPr>
          <w:trHeight w:val="1540"/>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11. Se verifică dacă studenţii sunt informaţi despre posibilităţile de asistenţă financiară din partea instituţiei şi despre modul de utilizare a taxelor.</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BE369F">
            <w:pPr>
              <w:pStyle w:val="Heading2"/>
              <w:rPr>
                <w:b w:val="0"/>
              </w:rPr>
            </w:pPr>
          </w:p>
        </w:tc>
      </w:tr>
      <w:tr w:rsidR="00EC0DFC" w:rsidRPr="009B09EC" w:rsidTr="00EC0DFC">
        <w:trPr>
          <w:trHeight w:val="2824"/>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12. Instituţiile de învăţământ superior trebuie să facă dovada auditării situaţiilor financiare de către o societate de audit de prestigiu, recunoscută pe plan naţional şi/sau internaţional, iar rezultatele auditului financiar împreună cu analiza anuală a execuţiei bugetului de venituri şi cheltuieli au fost dezbătute de senatul universităţii şi date publicităţii.</w:t>
            </w:r>
          </w:p>
          <w:p w:rsidR="00EC0DFC" w:rsidRPr="00CA393B" w:rsidRDefault="00EC0DFC" w:rsidP="006E2965">
            <w:pPr>
              <w:rPr>
                <w:sz w:val="20"/>
                <w:lang w:val="ro-RO"/>
              </w:rPr>
            </w:pPr>
            <w:r w:rsidRPr="00CA393B">
              <w:rPr>
                <w:sz w:val="20"/>
                <w:lang w:val="ro-RO"/>
              </w:rPr>
              <w:t>DA: se vor menţiona datele privind societatea care a efectuat auditul şi modul în care rezultatele au fost făcute publice.</w:t>
            </w:r>
          </w:p>
          <w:p w:rsidR="00EC0DFC" w:rsidRPr="00CA393B" w:rsidRDefault="00EC0DFC" w:rsidP="006E2965">
            <w:pPr>
              <w:jc w:val="both"/>
              <w:rPr>
                <w:b/>
                <w:i/>
                <w:sz w:val="28"/>
                <w:lang w:val="ro-RO"/>
              </w:rPr>
            </w:pPr>
            <w:r w:rsidRPr="00CA393B">
              <w:rPr>
                <w:sz w:val="20"/>
                <w:lang w:val="ro-RO"/>
              </w:rPr>
              <w:t>NU: se va menţiona explicit nerespectarea totală sau parţială a cerinţei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370586">
            <w:pPr>
              <w:overflowPunct/>
              <w:autoSpaceDE/>
              <w:autoSpaceDN/>
              <w:adjustRightInd/>
              <w:jc w:val="both"/>
              <w:textAlignment w:val="auto"/>
              <w:rPr>
                <w:b/>
                <w:sz w:val="28"/>
                <w:lang w:val="ro-RO"/>
              </w:rPr>
            </w:pPr>
          </w:p>
        </w:tc>
      </w:tr>
      <w:tr w:rsidR="00EC0DFC" w:rsidRPr="00CA393B" w:rsidTr="00EC0DFC">
        <w:trPr>
          <w:trHeight w:val="526"/>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t>STUDENŢII</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 şi COMISIILE PE DOMENII/PROGRAME)</w:t>
            </w: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szCs w:val="28"/>
                <w:u w:val="single"/>
                <w:lang w:val="ro-RO"/>
              </w:rPr>
            </w:pPr>
            <w:r w:rsidRPr="00CA393B">
              <w:rPr>
                <w:b/>
                <w:i/>
                <w:sz w:val="28"/>
                <w:lang w:val="ro-RO"/>
              </w:rPr>
              <w:t xml:space="preserve">13. Recrutarea studenţilor se face prin proceduri de admitere proprii iar înscrierea la concursul de admitere se face numai pe </w:t>
            </w:r>
            <w:r w:rsidRPr="00CA393B">
              <w:rPr>
                <w:b/>
                <w:i/>
                <w:sz w:val="28"/>
                <w:lang w:val="ro-RO"/>
              </w:rPr>
              <w:lastRenderedPageBreak/>
              <w:t>baza diplomei de bacalaureat sau a altor acte de studii echivalente, recunoscute de MEdC.</w:t>
            </w:r>
            <w:r w:rsidRPr="00CA393B">
              <w:rPr>
                <w:i/>
                <w:sz w:val="28"/>
                <w:lang w:val="ro-RO"/>
              </w:rPr>
              <w:t xml:space="preserve"> </w:t>
            </w:r>
            <w:r w:rsidRPr="00CA393B">
              <w:rPr>
                <w:b/>
                <w:i/>
                <w:sz w:val="28"/>
                <w:szCs w:val="28"/>
                <w:u w:val="single"/>
                <w:lang w:val="ro-RO"/>
              </w:rPr>
              <w:t>Identificarea in evidenţele instituţiei a unor studenţi fără diplomă de bacalaureat sau echivalentă conduce la concluzia că nu sunt îndeplinite standardele naţionale de calitate în vigoare.</w:t>
            </w:r>
          </w:p>
          <w:p w:rsidR="00EC0DFC" w:rsidRPr="00CA393B" w:rsidRDefault="00EC0DFC" w:rsidP="006E2965">
            <w:pPr>
              <w:jc w:val="both"/>
              <w:rPr>
                <w:i/>
                <w:lang w:val="ro-RO"/>
              </w:rPr>
            </w:pPr>
            <w:r w:rsidRPr="00CA393B">
              <w:rPr>
                <w:lang w:val="ro-RO"/>
              </w:rPr>
              <w:t>Se verifică prin sondaj, pentru studenţii înscrişi în ultimii 5 ani universitari.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0D22A8">
            <w:pPr>
              <w:jc w:val="both"/>
              <w:rPr>
                <w:b/>
                <w:sz w:val="28"/>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14 Se verifică dacă transferul studenţilor între instituţii de învăţământ superior, facultăţi şi specializări s-a făcut cu respectarea dispoziţiilor legale în vigoare, fiind reglementat prin regulamente interne şi nu s-a efectuat pe parcursul anului de învăţământ.</w:t>
            </w:r>
          </w:p>
          <w:p w:rsidR="00EC0DFC" w:rsidRPr="00CA393B" w:rsidRDefault="00EC0DFC" w:rsidP="006E2965">
            <w:pPr>
              <w:jc w:val="both"/>
              <w:rPr>
                <w:i/>
                <w:lang w:val="ro-RO"/>
              </w:rPr>
            </w:pPr>
            <w:r w:rsidRPr="00CA393B">
              <w:rPr>
                <w:lang w:val="ro-RO"/>
              </w:rPr>
              <w:t>Anul de studiu în care se realizează transferul este anul de învăţământ următor în raport cu cel în care studentul este înmatriculat când îl solicită.</w:t>
            </w:r>
          </w:p>
          <w:p w:rsidR="00EC0DFC" w:rsidRPr="00CA393B" w:rsidRDefault="00EC0DFC" w:rsidP="006E2965">
            <w:pPr>
              <w:jc w:val="both"/>
              <w:rPr>
                <w:b/>
                <w:i/>
                <w:sz w:val="28"/>
                <w:lang w:val="ro-RO"/>
              </w:rPr>
            </w:pP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697CFB" w:rsidRDefault="00EC0DFC" w:rsidP="0003643E">
            <w:pPr>
              <w:jc w:val="both"/>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15. Se verifică cerinţa ca rezultatele obţinute de studenţi pe parcursul şcolarizării să fie atestate prin foaia matricolă.</w:t>
            </w:r>
          </w:p>
          <w:p w:rsidR="00EC0DFC" w:rsidRPr="00CA393B" w:rsidRDefault="00EC0DFC" w:rsidP="006E2965">
            <w:pPr>
              <w:jc w:val="both"/>
              <w:rPr>
                <w:b/>
                <w:i/>
                <w:sz w:val="28"/>
                <w:lang w:val="ro-RO"/>
              </w:rPr>
            </w:pPr>
            <w:r w:rsidRPr="00CA393B">
              <w:rPr>
                <w:b/>
                <w:i/>
                <w:sz w:val="20"/>
                <w:lang w:val="ro-RO"/>
              </w:rPr>
              <w:t>DA/NU.</w:t>
            </w:r>
            <w:r w:rsidRPr="00CA393B">
              <w:rPr>
                <w:b/>
                <w:i/>
                <w:sz w:val="28"/>
                <w:lang w:val="ro-RO"/>
              </w:rPr>
              <w:t xml:space="preserve"> Se verifică dacă instituţia eliberează tuturor absolvenţilor  Suplimentul la Diplomă </w:t>
            </w:r>
            <w:r w:rsidRPr="00CA393B">
              <w:rPr>
                <w:b/>
                <w:i/>
                <w:sz w:val="20"/>
                <w:lang w:val="ro-RO"/>
              </w:rPr>
              <w:t>DA/NU</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5102FF" w:rsidRDefault="00EC0DFC" w:rsidP="0003643E">
            <w:pPr>
              <w:rPr>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16. Procedurile de conferire a diplomelor sau certificatelor  de absolvire sunt în conformitate cu  condiţiile stabilite de lege.</w:t>
            </w:r>
          </w:p>
          <w:p w:rsidR="00EC0DFC" w:rsidRPr="00CA393B" w:rsidRDefault="00EC0DFC" w:rsidP="006E2965">
            <w:pPr>
              <w:jc w:val="both"/>
              <w:rPr>
                <w:i/>
                <w:lang w:val="ro-RO"/>
              </w:rPr>
            </w:pPr>
            <w:r w:rsidRPr="00CA393B">
              <w:rPr>
                <w:lang w:val="ro-RO"/>
              </w:rPr>
              <w:t>Se verifică prin sondaj, la secretariatele facultăţilor şi la secretariatul rectoratului.</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5102FF" w:rsidRDefault="00EC0DFC" w:rsidP="0003643E">
            <w:pPr>
              <w:jc w:val="both"/>
              <w:rPr>
                <w:lang w:val="ro-RO"/>
              </w:rPr>
            </w:pPr>
          </w:p>
        </w:tc>
      </w:tr>
      <w:tr w:rsidR="00EC0DFC" w:rsidRPr="009B09EC" w:rsidTr="00EC0DFC">
        <w:trPr>
          <w:trHeight w:val="526"/>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t>ACTIVITATEA DE CERCETARE</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 şi COMISIILE PE DOMENII/PROGRAME)</w:t>
            </w: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 xml:space="preserve">17. Dacă misiunea instituţiei de învăţământ superior este şi de </w:t>
            </w:r>
            <w:r w:rsidRPr="00CA393B">
              <w:rPr>
                <w:b/>
                <w:i/>
                <w:sz w:val="28"/>
                <w:lang w:val="ro-RO"/>
              </w:rPr>
              <w:lastRenderedPageBreak/>
              <w:t>cercetare, se verifică existenţa planurilor de cercetare proprii, pe domenii, incluse in planurile strategice ale facultăţilor şi/sau departamentelor şi, respectiv al instituţiei, atestate prin documente  şi a modalităţilor de valorificare a cercetării ştiinţifice.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7A1453">
            <w:pPr>
              <w:rPr>
                <w:b/>
                <w:sz w:val="28"/>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18. Temele de cercetare cuprinse în planuri se înscriu în ariile ştiinţifice ale domeniilor de licenţă şi/sau masterat.</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933759" w:rsidRDefault="00EC0DFC" w:rsidP="00D74884">
            <w:pPr>
              <w:rPr>
                <w:sz w:val="28"/>
                <w:lang w:val="ro-RO"/>
              </w:rPr>
            </w:pPr>
          </w:p>
        </w:tc>
      </w:tr>
      <w:tr w:rsidR="00EC0DFC" w:rsidRPr="00CA393B"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19. Se verifică dacă rezultatele activităţilor de cercetare ştiinţifică desfăşurate de personalul didactic şi de cercetare sunt valorificate prin publicaţii în reviste de specialitate sau edituri din ţară recunoscute de CNCSIS sau din străinătate, comunicări ştiinţifice prezentate la sesiuni, simpozioane,seminarii din ţară şi/sau străinătate, contracte, expertiză, consultanţă etc. pe baza de contracte sau convenţii încheiate cu parteneri din ţară şi/sau străinătate, cu evaluare atestată de către comisii de specialitate etc.</w:t>
            </w:r>
          </w:p>
          <w:p w:rsidR="00EC0DFC" w:rsidRPr="00CA393B" w:rsidRDefault="00EC0DFC" w:rsidP="00EB7A4D">
            <w:pPr>
              <w:rPr>
                <w:b/>
                <w:i/>
                <w:sz w:val="28"/>
                <w:lang w:val="ro-RO"/>
              </w:rPr>
            </w:pPr>
            <w:r w:rsidRPr="00CA393B">
              <w:rPr>
                <w:i/>
                <w:lang w:val="ro-RO"/>
              </w:rPr>
              <w:t>Sunt/nu sunt</w:t>
            </w:r>
            <w:r w:rsidRPr="00CA393B">
              <w:rPr>
                <w:lang w:val="ro-RO"/>
              </w:rPr>
              <w:t xml:space="preserve"> respectate prevederile parag. 4.2 , subcap. 5, lit. d,e,f din Metodologie; constatări, comentarii explicative.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EB7A4D" w:rsidRDefault="00EC0DFC" w:rsidP="00EB7A4D">
            <w:pPr>
              <w:jc w:val="both"/>
              <w:rPr>
                <w:lang w:val="ro-RO"/>
              </w:rPr>
            </w:pP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highlight w:val="yellow"/>
                <w:lang w:val="ro-RO"/>
              </w:rPr>
            </w:pPr>
            <w:r w:rsidRPr="00CA393B">
              <w:rPr>
                <w:b/>
                <w:i/>
                <w:sz w:val="28"/>
                <w:lang w:val="ro-RO"/>
              </w:rPr>
              <w:t>20. Facultăţile şi/sau instituţia organizează periodic cu cadrele didactice, cercetătorii şi absolvenţii, sesiuni ştiinţifice, simpozioane, conferinţe,  mese rotunde, iar comunicările sunt publicate în buletine ştiinţifice cotate ISBN sau ISSN sau în reviste dedicate activităţii organizate.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7A784E" w:rsidRDefault="00EC0DFC" w:rsidP="0097045D">
            <w:pPr>
              <w:rPr>
                <w:lang w:val="ro-RO"/>
              </w:rPr>
            </w:pPr>
          </w:p>
        </w:tc>
      </w:tr>
      <w:tr w:rsidR="00EC0DFC" w:rsidRPr="009B09EC" w:rsidTr="00EC0DFC">
        <w:trPr>
          <w:trHeight w:val="526"/>
        </w:trPr>
        <w:tc>
          <w:tcPr>
            <w:tcW w:w="14601" w:type="dxa"/>
            <w:gridSpan w:val="2"/>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center"/>
              <w:rPr>
                <w:b/>
                <w:i/>
                <w:sz w:val="28"/>
                <w:lang w:val="ro-RO"/>
              </w:rPr>
            </w:pPr>
            <w:r w:rsidRPr="00CA393B">
              <w:rPr>
                <w:b/>
                <w:i/>
                <w:sz w:val="28"/>
                <w:lang w:val="ro-RO"/>
              </w:rPr>
              <w:t>APRECIERILE COMISIEI INSTITUŢIONALE ASUPRA MISIUNII INSTITUŢIEI</w:t>
            </w:r>
          </w:p>
          <w:p w:rsidR="00EC0DFC" w:rsidRPr="00CA393B" w:rsidRDefault="00EC0DFC" w:rsidP="006E2965">
            <w:pPr>
              <w:jc w:val="center"/>
              <w:rPr>
                <w:b/>
                <w:i/>
                <w:sz w:val="28"/>
                <w:lang w:val="ro-RO"/>
              </w:rPr>
            </w:pPr>
            <w:r w:rsidRPr="00CA393B">
              <w:rPr>
                <w:sz w:val="20"/>
                <w:lang w:val="ro-RO"/>
              </w:rPr>
              <w:t>(COMISIA DE EVALUARE INSTITUŢIONALĂ PENTRU ACTIVITĂŢI MANAGERIALE ŞI FINANCIARE şi COMISIILE PE DOMENII/PROGRAME)</w:t>
            </w:r>
          </w:p>
        </w:tc>
      </w:tr>
      <w:tr w:rsidR="00EC0DFC" w:rsidRPr="00370586"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lastRenderedPageBreak/>
              <w:t>Misiunea instituţiei (furnizorului de educaţie) evaluate are obiective clare.</w:t>
            </w:r>
          </w:p>
          <w:p w:rsidR="00EC0DFC" w:rsidRPr="00CA393B" w:rsidRDefault="00EC0DFC" w:rsidP="006E2965">
            <w:pPr>
              <w:rPr>
                <w:lang w:val="ro-RO"/>
              </w:rPr>
            </w:pPr>
            <w:r w:rsidRPr="00CA393B">
              <w:rPr>
                <w:lang w:val="ro-RO"/>
              </w:rPr>
              <w:t>DA/NU – constatări, comentarii explicative</w:t>
            </w:r>
          </w:p>
          <w:p w:rsidR="00EC0DFC" w:rsidRPr="00CA393B" w:rsidRDefault="00EC0DFC" w:rsidP="006E2965">
            <w:pPr>
              <w:jc w:val="both"/>
              <w:rPr>
                <w:b/>
                <w:i/>
                <w:sz w:val="28"/>
                <w:lang w:val="ro-RO"/>
              </w:rPr>
            </w:pP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1B2DB9">
            <w:pPr>
              <w:rPr>
                <w:b/>
                <w:sz w:val="28"/>
                <w:highlight w:val="yellow"/>
                <w:lang w:val="ro-RO"/>
              </w:rPr>
            </w:pPr>
          </w:p>
        </w:tc>
      </w:tr>
      <w:tr w:rsidR="00EC0DFC" w:rsidRPr="009B09EC" w:rsidTr="00EC0DFC">
        <w:trPr>
          <w:trHeight w:val="526"/>
        </w:trPr>
        <w:tc>
          <w:tcPr>
            <w:tcW w:w="7560" w:type="dxa"/>
            <w:tcBorders>
              <w:top w:val="single" w:sz="4" w:space="0" w:color="auto"/>
              <w:left w:val="single" w:sz="4" w:space="0" w:color="auto"/>
              <w:bottom w:val="single" w:sz="4" w:space="0" w:color="auto"/>
              <w:right w:val="single" w:sz="4" w:space="0" w:color="auto"/>
            </w:tcBorders>
            <w:vAlign w:val="center"/>
          </w:tcPr>
          <w:p w:rsidR="00EC0DFC" w:rsidRPr="00CA393B" w:rsidRDefault="00EC0DFC" w:rsidP="006E2965">
            <w:pPr>
              <w:jc w:val="both"/>
              <w:rPr>
                <w:b/>
                <w:i/>
                <w:sz w:val="28"/>
                <w:lang w:val="ro-RO"/>
              </w:rPr>
            </w:pPr>
            <w:r w:rsidRPr="00CA393B">
              <w:rPr>
                <w:b/>
                <w:i/>
                <w:sz w:val="28"/>
                <w:lang w:val="ro-RO"/>
              </w:rPr>
              <w:t>Misiunea instituţiei (furnizorului de educaţie) evaluate conţine şi elemente de specificitate şi oportunitate în concordanţă cu cadrul naţional al calificărilor şi cerinţele pieţei forţei de muncă.</w:t>
            </w:r>
          </w:p>
          <w:p w:rsidR="00EC0DFC" w:rsidRPr="00370586" w:rsidRDefault="00EC0DFC" w:rsidP="00370586">
            <w:pPr>
              <w:rPr>
                <w:lang w:val="ro-RO"/>
              </w:rPr>
            </w:pPr>
            <w:r w:rsidRPr="00CA393B">
              <w:rPr>
                <w:lang w:val="ro-RO"/>
              </w:rPr>
              <w:t>DA/NU – constatări, comentarii explicative</w:t>
            </w:r>
          </w:p>
        </w:tc>
        <w:tc>
          <w:tcPr>
            <w:tcW w:w="7041" w:type="dxa"/>
            <w:tcBorders>
              <w:top w:val="single" w:sz="4" w:space="0" w:color="auto"/>
              <w:left w:val="single" w:sz="4" w:space="0" w:color="auto"/>
              <w:bottom w:val="single" w:sz="4" w:space="0" w:color="auto"/>
              <w:right w:val="single" w:sz="4" w:space="0" w:color="auto"/>
            </w:tcBorders>
            <w:vAlign w:val="center"/>
          </w:tcPr>
          <w:p w:rsidR="00EC0DFC" w:rsidRPr="00F42FB2" w:rsidRDefault="00EC0DFC" w:rsidP="00370586">
            <w:pPr>
              <w:pStyle w:val="Default"/>
            </w:pPr>
          </w:p>
        </w:tc>
      </w:tr>
    </w:tbl>
    <w:p w:rsidR="00EC0DFC" w:rsidRPr="00CA393B" w:rsidRDefault="00EC0DFC" w:rsidP="004C7BAB">
      <w:pPr>
        <w:rPr>
          <w:lang w:val="ro-RO"/>
        </w:rPr>
      </w:pPr>
    </w:p>
    <w:p w:rsidR="00E21164" w:rsidRPr="00EC0DFC" w:rsidRDefault="00E21164" w:rsidP="00E21164">
      <w:pPr>
        <w:tabs>
          <w:tab w:val="left" w:pos="4260"/>
        </w:tabs>
        <w:rPr>
          <w:lang w:val="ro-RO"/>
        </w:rPr>
      </w:pPr>
    </w:p>
    <w:sectPr w:rsidR="00E21164" w:rsidRPr="00EC0DFC" w:rsidSect="009B09EC">
      <w:headerReference w:type="default" r:id="rId7"/>
      <w:footerReference w:type="default" r:id="rId8"/>
      <w:pgSz w:w="16838" w:h="11906" w:orient="landscape"/>
      <w:pgMar w:top="1843" w:right="1245" w:bottom="1276" w:left="1440" w:header="0"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3DA" w:rsidRDefault="000343DA" w:rsidP="009B651D">
      <w:r>
        <w:separator/>
      </w:r>
    </w:p>
  </w:endnote>
  <w:endnote w:type="continuationSeparator" w:id="0">
    <w:p w:rsidR="000343DA" w:rsidRDefault="000343DA" w:rsidP="009B6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47873"/>
      <w:docPartObj>
        <w:docPartGallery w:val="Page Numbers (Bottom of Page)"/>
        <w:docPartUnique/>
      </w:docPartObj>
    </w:sdtPr>
    <w:sdtEndPr>
      <w:rPr>
        <w:sz w:val="4"/>
      </w:rPr>
    </w:sdtEndPr>
    <w:sdtContent>
      <w:p w:rsidR="001B7361" w:rsidRDefault="009B09EC">
        <w:pPr>
          <w:pStyle w:val="Footer"/>
          <w:jc w:val="center"/>
        </w:pPr>
        <w:fldSimple w:instr=" PAGE   \* MERGEFORMAT ">
          <w:r>
            <w:rPr>
              <w:noProof/>
            </w:rPr>
            <w:t>1</w:t>
          </w:r>
        </w:fldSimple>
      </w:p>
      <w:p w:rsidR="00E21164" w:rsidRPr="001B7361" w:rsidRDefault="00EE496C" w:rsidP="001B7361">
        <w:pPr>
          <w:pStyle w:val="Footer"/>
          <w:rPr>
            <w:sz w:val="4"/>
          </w:rPr>
        </w:pPr>
      </w:p>
    </w:sdtContent>
  </w:sdt>
  <w:p w:rsidR="00E21164" w:rsidRDefault="00E21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3DA" w:rsidRDefault="000343DA" w:rsidP="009B651D">
      <w:r>
        <w:separator/>
      </w:r>
    </w:p>
  </w:footnote>
  <w:footnote w:type="continuationSeparator" w:id="0">
    <w:p w:rsidR="000343DA" w:rsidRDefault="000343DA" w:rsidP="009B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94" w:rsidRDefault="00EE496C" w:rsidP="006B61E4">
    <w:pPr>
      <w:pStyle w:val="Header"/>
      <w:ind w:left="-1411" w:firstLine="571"/>
    </w:pPr>
    <w:r>
      <w:rPr>
        <w:noProof/>
        <w:lang w:val="en-US"/>
      </w:rPr>
      <w:pict>
        <v:shapetype id="_x0000_t32" coordsize="21600,21600" o:spt="32" o:oned="t" path="m,l21600,21600e" filled="f">
          <v:path arrowok="t" fillok="f" o:connecttype="none"/>
          <o:lock v:ext="edit" shapetype="t"/>
        </v:shapetype>
        <v:shape id="_x0000_s30722" type="#_x0000_t32" style="position:absolute;left:0;text-align:left;margin-left:0;margin-top:84.1pt;width:708pt;height:0;z-index:251658240" o:connectortype="straight" strokecolor="#009"/>
      </w:pict>
    </w:r>
    <w:r w:rsidR="00E63794" w:rsidRPr="00E63794">
      <w:rPr>
        <w:noProof/>
        <w:lang w:val="en-US"/>
      </w:rPr>
      <w:drawing>
        <wp:inline distT="0" distB="0" distL="0" distR="0">
          <wp:extent cx="10068460" cy="1162050"/>
          <wp:effectExtent l="19050" t="0" r="89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15937" cy="11790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6082">
      <o:colormenu v:ext="edit" strokecolor="#009"/>
    </o:shapedefaults>
    <o:shapelayout v:ext="edit">
      <o:idmap v:ext="edit" data="30"/>
      <o:rules v:ext="edit">
        <o:r id="V:Rule2" type="connector" idref="#_x0000_s30722"/>
      </o:rules>
    </o:shapelayout>
  </w:hdrShapeDefaults>
  <w:footnotePr>
    <w:footnote w:id="-1"/>
    <w:footnote w:id="0"/>
  </w:footnotePr>
  <w:endnotePr>
    <w:endnote w:id="-1"/>
    <w:endnote w:id="0"/>
  </w:endnotePr>
  <w:compat/>
  <w:rsids>
    <w:rsidRoot w:val="002137C4"/>
    <w:rsid w:val="00014CBC"/>
    <w:rsid w:val="00021333"/>
    <w:rsid w:val="000311AC"/>
    <w:rsid w:val="00031D42"/>
    <w:rsid w:val="000343DA"/>
    <w:rsid w:val="00034F45"/>
    <w:rsid w:val="00036AA6"/>
    <w:rsid w:val="0005540A"/>
    <w:rsid w:val="00057777"/>
    <w:rsid w:val="000649AB"/>
    <w:rsid w:val="00075132"/>
    <w:rsid w:val="000821B5"/>
    <w:rsid w:val="00087694"/>
    <w:rsid w:val="000A2703"/>
    <w:rsid w:val="000B2740"/>
    <w:rsid w:val="000C1E96"/>
    <w:rsid w:val="000D3D9C"/>
    <w:rsid w:val="000E0B15"/>
    <w:rsid w:val="000E2DDD"/>
    <w:rsid w:val="0012444D"/>
    <w:rsid w:val="00124BA5"/>
    <w:rsid w:val="00127B27"/>
    <w:rsid w:val="00150016"/>
    <w:rsid w:val="00155A58"/>
    <w:rsid w:val="001810C3"/>
    <w:rsid w:val="001900BD"/>
    <w:rsid w:val="00194A61"/>
    <w:rsid w:val="00195DD9"/>
    <w:rsid w:val="001B7361"/>
    <w:rsid w:val="001D6822"/>
    <w:rsid w:val="001E68C3"/>
    <w:rsid w:val="001F18AC"/>
    <w:rsid w:val="001F2C66"/>
    <w:rsid w:val="002136A8"/>
    <w:rsid w:val="002137C4"/>
    <w:rsid w:val="00223D9D"/>
    <w:rsid w:val="0023516A"/>
    <w:rsid w:val="002575BF"/>
    <w:rsid w:val="00282B36"/>
    <w:rsid w:val="0029067E"/>
    <w:rsid w:val="002933FF"/>
    <w:rsid w:val="00294387"/>
    <w:rsid w:val="00296C68"/>
    <w:rsid w:val="002B39A7"/>
    <w:rsid w:val="002C103D"/>
    <w:rsid w:val="00302AB3"/>
    <w:rsid w:val="00307D34"/>
    <w:rsid w:val="00307E3D"/>
    <w:rsid w:val="00316E1A"/>
    <w:rsid w:val="003215FE"/>
    <w:rsid w:val="00326494"/>
    <w:rsid w:val="00343B6B"/>
    <w:rsid w:val="0034581B"/>
    <w:rsid w:val="00345C9B"/>
    <w:rsid w:val="00361172"/>
    <w:rsid w:val="003821BE"/>
    <w:rsid w:val="00391841"/>
    <w:rsid w:val="003B4302"/>
    <w:rsid w:val="003C3D71"/>
    <w:rsid w:val="003C536A"/>
    <w:rsid w:val="003D2147"/>
    <w:rsid w:val="003D35E7"/>
    <w:rsid w:val="003D5B08"/>
    <w:rsid w:val="003F474D"/>
    <w:rsid w:val="00401653"/>
    <w:rsid w:val="00411210"/>
    <w:rsid w:val="00417625"/>
    <w:rsid w:val="00453145"/>
    <w:rsid w:val="00456570"/>
    <w:rsid w:val="0046249F"/>
    <w:rsid w:val="00490356"/>
    <w:rsid w:val="00493A4D"/>
    <w:rsid w:val="004A1DC0"/>
    <w:rsid w:val="004A7657"/>
    <w:rsid w:val="004C468E"/>
    <w:rsid w:val="004E1FA4"/>
    <w:rsid w:val="004E677A"/>
    <w:rsid w:val="004E7514"/>
    <w:rsid w:val="004E7B00"/>
    <w:rsid w:val="004F7B1B"/>
    <w:rsid w:val="00514B9E"/>
    <w:rsid w:val="0056005F"/>
    <w:rsid w:val="00563596"/>
    <w:rsid w:val="00571D96"/>
    <w:rsid w:val="005752D6"/>
    <w:rsid w:val="0059200B"/>
    <w:rsid w:val="00595259"/>
    <w:rsid w:val="005A703C"/>
    <w:rsid w:val="005D3632"/>
    <w:rsid w:val="0061577A"/>
    <w:rsid w:val="006372C0"/>
    <w:rsid w:val="00654CB8"/>
    <w:rsid w:val="00676C6D"/>
    <w:rsid w:val="00686E53"/>
    <w:rsid w:val="006A44E7"/>
    <w:rsid w:val="006B06CB"/>
    <w:rsid w:val="006B2E2D"/>
    <w:rsid w:val="006B61E4"/>
    <w:rsid w:val="006D596C"/>
    <w:rsid w:val="00705E10"/>
    <w:rsid w:val="00707C29"/>
    <w:rsid w:val="00731B8A"/>
    <w:rsid w:val="0073334B"/>
    <w:rsid w:val="00736107"/>
    <w:rsid w:val="007409EA"/>
    <w:rsid w:val="007422F2"/>
    <w:rsid w:val="007819DE"/>
    <w:rsid w:val="00781F3A"/>
    <w:rsid w:val="007A0DA8"/>
    <w:rsid w:val="007B2069"/>
    <w:rsid w:val="007C6338"/>
    <w:rsid w:val="007D3DF3"/>
    <w:rsid w:val="007E4C0E"/>
    <w:rsid w:val="008045DC"/>
    <w:rsid w:val="008066BA"/>
    <w:rsid w:val="00816074"/>
    <w:rsid w:val="00836284"/>
    <w:rsid w:val="0084427E"/>
    <w:rsid w:val="008472D8"/>
    <w:rsid w:val="008529B9"/>
    <w:rsid w:val="0087226D"/>
    <w:rsid w:val="0087321C"/>
    <w:rsid w:val="00876673"/>
    <w:rsid w:val="00877283"/>
    <w:rsid w:val="0088443D"/>
    <w:rsid w:val="0089204B"/>
    <w:rsid w:val="00894C57"/>
    <w:rsid w:val="008A4CD8"/>
    <w:rsid w:val="008D7228"/>
    <w:rsid w:val="008E3067"/>
    <w:rsid w:val="008F196D"/>
    <w:rsid w:val="008F28A3"/>
    <w:rsid w:val="0091427D"/>
    <w:rsid w:val="0092048F"/>
    <w:rsid w:val="0092681B"/>
    <w:rsid w:val="0092782F"/>
    <w:rsid w:val="00931F63"/>
    <w:rsid w:val="00935088"/>
    <w:rsid w:val="009376F5"/>
    <w:rsid w:val="009501FA"/>
    <w:rsid w:val="00963EC2"/>
    <w:rsid w:val="00972BED"/>
    <w:rsid w:val="00973634"/>
    <w:rsid w:val="00980208"/>
    <w:rsid w:val="00994EF7"/>
    <w:rsid w:val="009A42A1"/>
    <w:rsid w:val="009B09EC"/>
    <w:rsid w:val="009B651D"/>
    <w:rsid w:val="009B7724"/>
    <w:rsid w:val="009D33D0"/>
    <w:rsid w:val="009D76D6"/>
    <w:rsid w:val="00A06F5D"/>
    <w:rsid w:val="00A11188"/>
    <w:rsid w:val="00A13297"/>
    <w:rsid w:val="00A143BE"/>
    <w:rsid w:val="00A30960"/>
    <w:rsid w:val="00A56639"/>
    <w:rsid w:val="00A6277B"/>
    <w:rsid w:val="00A84CF5"/>
    <w:rsid w:val="00A873F3"/>
    <w:rsid w:val="00A953BF"/>
    <w:rsid w:val="00A9710F"/>
    <w:rsid w:val="00AA1718"/>
    <w:rsid w:val="00AA2395"/>
    <w:rsid w:val="00AD0A5D"/>
    <w:rsid w:val="00AD3E3B"/>
    <w:rsid w:val="00AF27A0"/>
    <w:rsid w:val="00B00D11"/>
    <w:rsid w:val="00B1373B"/>
    <w:rsid w:val="00B3593E"/>
    <w:rsid w:val="00B45B0B"/>
    <w:rsid w:val="00B60142"/>
    <w:rsid w:val="00B634C3"/>
    <w:rsid w:val="00B75E2B"/>
    <w:rsid w:val="00B8425B"/>
    <w:rsid w:val="00B84576"/>
    <w:rsid w:val="00BA0954"/>
    <w:rsid w:val="00BA379C"/>
    <w:rsid w:val="00BB714D"/>
    <w:rsid w:val="00BC6EFA"/>
    <w:rsid w:val="00BD19A8"/>
    <w:rsid w:val="00BD61B3"/>
    <w:rsid w:val="00BE623D"/>
    <w:rsid w:val="00C064EF"/>
    <w:rsid w:val="00C21A83"/>
    <w:rsid w:val="00C36C64"/>
    <w:rsid w:val="00C37C3F"/>
    <w:rsid w:val="00C40F27"/>
    <w:rsid w:val="00C41043"/>
    <w:rsid w:val="00C432E5"/>
    <w:rsid w:val="00C577FD"/>
    <w:rsid w:val="00C67373"/>
    <w:rsid w:val="00C73098"/>
    <w:rsid w:val="00C944F0"/>
    <w:rsid w:val="00CA45C6"/>
    <w:rsid w:val="00CB260E"/>
    <w:rsid w:val="00CD53CC"/>
    <w:rsid w:val="00CD787C"/>
    <w:rsid w:val="00D012FC"/>
    <w:rsid w:val="00D03E87"/>
    <w:rsid w:val="00D102EA"/>
    <w:rsid w:val="00D1312A"/>
    <w:rsid w:val="00D3530B"/>
    <w:rsid w:val="00D53A3E"/>
    <w:rsid w:val="00D62BF2"/>
    <w:rsid w:val="00D9172A"/>
    <w:rsid w:val="00D954B5"/>
    <w:rsid w:val="00DA7CB4"/>
    <w:rsid w:val="00DE73C8"/>
    <w:rsid w:val="00DF7051"/>
    <w:rsid w:val="00E05C97"/>
    <w:rsid w:val="00E21164"/>
    <w:rsid w:val="00E220EE"/>
    <w:rsid w:val="00E40AE2"/>
    <w:rsid w:val="00E418AF"/>
    <w:rsid w:val="00E50E5A"/>
    <w:rsid w:val="00E5445D"/>
    <w:rsid w:val="00E63794"/>
    <w:rsid w:val="00E64A56"/>
    <w:rsid w:val="00E97A91"/>
    <w:rsid w:val="00EA6E45"/>
    <w:rsid w:val="00EB6069"/>
    <w:rsid w:val="00EC0DFC"/>
    <w:rsid w:val="00EC6A00"/>
    <w:rsid w:val="00ED57A3"/>
    <w:rsid w:val="00EE496C"/>
    <w:rsid w:val="00EE7FE7"/>
    <w:rsid w:val="00F06CB8"/>
    <w:rsid w:val="00F3457F"/>
    <w:rsid w:val="00F54719"/>
    <w:rsid w:val="00F73728"/>
    <w:rsid w:val="00F757E4"/>
    <w:rsid w:val="00F92205"/>
    <w:rsid w:val="00FD5919"/>
    <w:rsid w:val="00FE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0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o-RO"/>
    </w:rPr>
  </w:style>
  <w:style w:type="paragraph" w:styleId="Heading2">
    <w:name w:val="heading 2"/>
    <w:basedOn w:val="Normal"/>
    <w:next w:val="Normal"/>
    <w:link w:val="Heading2Char"/>
    <w:qFormat/>
    <w:rsid w:val="00EC0DFC"/>
    <w:pPr>
      <w:keepNext/>
      <w:overflowPunct/>
      <w:autoSpaceDE/>
      <w:autoSpaceDN/>
      <w:adjustRightInd/>
      <w:jc w:val="both"/>
      <w:textAlignment w:val="auto"/>
      <w:outlineLvl w:val="1"/>
    </w:pPr>
    <w:rPr>
      <w:b/>
      <w:bCs/>
      <w:color w:val="000000"/>
      <w:szCs w:val="24"/>
      <w:lang w:val="ro-RO" w:eastAsia="en-US"/>
    </w:rPr>
  </w:style>
  <w:style w:type="paragraph" w:styleId="Heading9">
    <w:name w:val="heading 9"/>
    <w:basedOn w:val="Normal"/>
    <w:next w:val="Normal"/>
    <w:link w:val="Heading9Char"/>
    <w:qFormat/>
    <w:rsid w:val="00EC0DFC"/>
    <w:p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rsid w:val="009B651D"/>
  </w:style>
  <w:style w:type="paragraph" w:styleId="Footer">
    <w:name w:val="footer"/>
    <w:basedOn w:val="Normal"/>
    <w:link w:val="FooterChar"/>
    <w:uiPriority w:val="99"/>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9B651D"/>
  </w:style>
  <w:style w:type="paragraph" w:styleId="BalloonText">
    <w:name w:val="Balloon Text"/>
    <w:basedOn w:val="Normal"/>
    <w:link w:val="BalloonTextChar"/>
    <w:uiPriority w:val="99"/>
    <w:semiHidden/>
    <w:unhideWhenUsed/>
    <w:rsid w:val="009B651D"/>
    <w:pPr>
      <w:overflowPunct/>
      <w:autoSpaceDE/>
      <w:autoSpaceDN/>
      <w:adjustRightInd/>
      <w:textAlignment w:val="auto"/>
    </w:pPr>
    <w:rPr>
      <w:rFonts w:ascii="Tahoma" w:eastAsiaTheme="minorHAnsi" w:hAnsi="Tahoma" w:cs="Tahoma"/>
      <w:sz w:val="16"/>
      <w:szCs w:val="16"/>
      <w:lang w:val="ro-RO" w:eastAsia="en-US"/>
    </w:rPr>
  </w:style>
  <w:style w:type="character" w:customStyle="1" w:styleId="BalloonTextChar">
    <w:name w:val="Balloon Text Char"/>
    <w:basedOn w:val="DefaultParagraphFont"/>
    <w:link w:val="BalloonText"/>
    <w:uiPriority w:val="99"/>
    <w:semiHidden/>
    <w:rsid w:val="009B651D"/>
    <w:rPr>
      <w:rFonts w:ascii="Tahoma" w:hAnsi="Tahoma" w:cs="Tahoma"/>
      <w:sz w:val="16"/>
      <w:szCs w:val="16"/>
    </w:rPr>
  </w:style>
  <w:style w:type="table" w:styleId="TableGrid">
    <w:name w:val="Table Grid"/>
    <w:basedOn w:val="TableNormal"/>
    <w:uiPriority w:val="59"/>
    <w:rsid w:val="009B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C0DFC"/>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rsid w:val="00EC0DFC"/>
    <w:rPr>
      <w:rFonts w:ascii="Arial" w:eastAsia="Times New Roman" w:hAnsi="Arial" w:cs="Arial"/>
      <w:lang w:val="en-US"/>
    </w:rPr>
  </w:style>
  <w:style w:type="paragraph" w:customStyle="1" w:styleId="Default">
    <w:name w:val="Default"/>
    <w:rsid w:val="00EC0D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9368421">
      <w:bodyDiv w:val="1"/>
      <w:marLeft w:val="0"/>
      <w:marRight w:val="0"/>
      <w:marTop w:val="0"/>
      <w:marBottom w:val="0"/>
      <w:divBdr>
        <w:top w:val="none" w:sz="0" w:space="0" w:color="auto"/>
        <w:left w:val="none" w:sz="0" w:space="0" w:color="auto"/>
        <w:bottom w:val="none" w:sz="0" w:space="0" w:color="auto"/>
        <w:right w:val="none" w:sz="0" w:space="0" w:color="auto"/>
      </w:divBdr>
    </w:div>
    <w:div w:id="13619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5D426-3914-485A-80E1-A355A3AC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2604</Words>
  <Characters>14844</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Eni</dc:creator>
  <cp:lastModifiedBy>Mircea</cp:lastModifiedBy>
  <cp:revision>8</cp:revision>
  <cp:lastPrinted>2014-06-10T11:27:00Z</cp:lastPrinted>
  <dcterms:created xsi:type="dcterms:W3CDTF">2015-01-25T08:25:00Z</dcterms:created>
  <dcterms:modified xsi:type="dcterms:W3CDTF">2015-02-05T08:23:00Z</dcterms:modified>
</cp:coreProperties>
</file>