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
          <w:bCs/>
          <w:color w:val="000099"/>
          <w:sz w:val="18"/>
          <w:szCs w:val="18"/>
          <w:lang w:val="ro-RO"/>
        </w:rPr>
        <w:t>Investeşte în oameni!</w:t>
      </w:r>
    </w:p>
    <w:p w:rsidR="006B61E4" w:rsidRPr="006B61E4" w:rsidRDefault="006B61E4" w:rsidP="006B61E4">
      <w:pPr>
        <w:jc w:val="both"/>
        <w:rPr>
          <w:rFonts w:ascii="Arial" w:hAnsi="Arial" w:cs="Arial"/>
          <w:bCs/>
          <w:color w:val="000099"/>
          <w:sz w:val="18"/>
          <w:szCs w:val="18"/>
          <w:lang w:val="ro-RO"/>
        </w:rPr>
      </w:pPr>
      <w:r w:rsidRPr="006B61E4">
        <w:rPr>
          <w:rFonts w:ascii="Arial" w:hAnsi="Arial" w:cs="Arial"/>
          <w:bCs/>
          <w:color w:val="000099"/>
          <w:sz w:val="18"/>
          <w:szCs w:val="18"/>
          <w:lang w:val="ro-RO"/>
        </w:rPr>
        <w:t>Proiect cofinanţat din Fondul Social European prin</w:t>
      </w:r>
      <w:r w:rsidRPr="006B61E4">
        <w:rPr>
          <w:rFonts w:ascii="Arial" w:hAnsi="Arial" w:cs="Arial"/>
          <w:b/>
          <w:bCs/>
          <w:color w:val="000099"/>
          <w:sz w:val="18"/>
          <w:szCs w:val="18"/>
          <w:lang w:val="ro-RO"/>
        </w:rPr>
        <w:t xml:space="preserve"> </w:t>
      </w:r>
      <w:r w:rsidRPr="006B61E4">
        <w:rPr>
          <w:rFonts w:ascii="Arial" w:hAnsi="Arial" w:cs="Arial"/>
          <w:bCs/>
          <w:color w:val="000099"/>
          <w:sz w:val="18"/>
          <w:szCs w:val="18"/>
          <w:lang w:val="ro-RO"/>
        </w:rPr>
        <w:t>Programul Operaţional Sectorial Dezvoltarea Resurselor Umane 2007 – 2013</w:t>
      </w:r>
    </w:p>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Cs/>
          <w:color w:val="000099"/>
          <w:sz w:val="18"/>
          <w:szCs w:val="18"/>
          <w:lang w:val="ro-RO"/>
        </w:rPr>
        <w:t xml:space="preserve">Axa prioritară </w:t>
      </w:r>
      <w:r w:rsidRPr="006B61E4">
        <w:rPr>
          <w:rFonts w:ascii="Arial" w:hAnsi="Arial" w:cs="Arial"/>
          <w:b/>
          <w:bCs/>
          <w:color w:val="000099"/>
          <w:sz w:val="18"/>
          <w:szCs w:val="18"/>
          <w:lang w:val="ro-RO"/>
        </w:rPr>
        <w:t>1 „Educaţia şi formarea profesională în sprijinul creşterii economice şi dezvoltării societăţii bazate pe cunoaştere”</w:t>
      </w:r>
      <w:r w:rsidR="006B06CB" w:rsidRPr="006B06CB">
        <w:rPr>
          <w:noProof/>
          <w:color w:val="000000" w:themeColor="text1"/>
          <w:sz w:val="20"/>
          <w:lang w:eastAsia="en-US"/>
        </w:rPr>
        <w:t xml:space="preserve"> </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color w:val="000099"/>
          <w:sz w:val="18"/>
          <w:szCs w:val="18"/>
          <w:lang w:val="ro-RO"/>
        </w:rPr>
        <w:t>Domeniul major de intervenţie</w:t>
      </w:r>
      <w:r w:rsidRPr="006B61E4">
        <w:rPr>
          <w:rFonts w:ascii="Arial" w:hAnsi="Arial" w:cs="Arial"/>
          <w:b/>
          <w:color w:val="000099"/>
          <w:sz w:val="18"/>
          <w:szCs w:val="18"/>
          <w:lang w:val="ro-RO"/>
        </w:rPr>
        <w:t xml:space="preserve"> 1.2 „Calitate în învăţământul superior”</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b/>
          <w:color w:val="000099"/>
          <w:sz w:val="18"/>
          <w:szCs w:val="18"/>
          <w:lang w:val="ro-RO"/>
        </w:rPr>
        <w:t>Titlul proiectului „Dezvoltarea şi consolidarea culturii calităţii la nivelul sistemului de învăţământ superior românesc - QUALITAS”</w:t>
      </w:r>
    </w:p>
    <w:p w:rsidR="006B61E4" w:rsidRPr="006B61E4" w:rsidRDefault="006B61E4" w:rsidP="006B61E4">
      <w:pPr>
        <w:jc w:val="both"/>
        <w:rPr>
          <w:rFonts w:ascii="Arial" w:hAnsi="Arial" w:cs="Arial"/>
          <w:color w:val="000099"/>
          <w:sz w:val="18"/>
          <w:szCs w:val="18"/>
          <w:lang w:val="ro-RO"/>
        </w:rPr>
      </w:pPr>
      <w:r w:rsidRPr="006B61E4">
        <w:rPr>
          <w:rFonts w:ascii="Arial" w:hAnsi="Arial" w:cs="Arial"/>
          <w:color w:val="000099"/>
          <w:sz w:val="18"/>
          <w:szCs w:val="18"/>
          <w:lang w:val="ro-RO"/>
        </w:rPr>
        <w:t>Contract POSDRU/155/1.2/S/141894</w:t>
      </w:r>
    </w:p>
    <w:p w:rsidR="006B61E4" w:rsidRPr="00B26B0E" w:rsidRDefault="005103C3" w:rsidP="006B61E4">
      <w:pPr>
        <w:rPr>
          <w:rFonts w:ascii="Arial" w:hAnsi="Arial" w:cs="Arial"/>
          <w:color w:val="FF0000"/>
          <w:sz w:val="18"/>
          <w:szCs w:val="18"/>
          <w:lang w:val="ro-RO"/>
        </w:rPr>
      </w:pPr>
      <w:r w:rsidRPr="005103C3">
        <w:rPr>
          <w:noProof/>
          <w:lang w:eastAsia="en-US"/>
        </w:rPr>
        <w:pict>
          <v:shapetype id="_x0000_t32" coordsize="21600,21600" o:spt="32" o:oned="t" path="m,l21600,21600e" filled="f">
            <v:path arrowok="t" fillok="f" o:connecttype="none"/>
            <o:lock v:ext="edit" shapetype="t"/>
          </v:shapetype>
          <v:shape id="_x0000_s1026" type="#_x0000_t32" style="position:absolute;margin-left:0;margin-top:7.7pt;width:708pt;height:0;z-index:251658240" o:connectortype="straight" strokecolor="#009"/>
        </w:pict>
      </w:r>
    </w:p>
    <w:p w:rsidR="00D1312A" w:rsidRPr="00B26B0E" w:rsidRDefault="00D1312A" w:rsidP="00E21164">
      <w:pPr>
        <w:tabs>
          <w:tab w:val="left" w:pos="4260"/>
        </w:tabs>
        <w:rPr>
          <w:sz w:val="18"/>
          <w:szCs w:val="18"/>
          <w:lang w:val="ro-RO"/>
        </w:rPr>
      </w:pPr>
    </w:p>
    <w:p w:rsidR="00B26B0E" w:rsidRPr="000F0AED" w:rsidRDefault="00B26B0E" w:rsidP="007E78D4">
      <w:pPr>
        <w:pStyle w:val="Heading9"/>
        <w:spacing w:before="0" w:after="120"/>
        <w:rPr>
          <w:rFonts w:ascii="Times New Roman" w:hAnsi="Times New Roman"/>
          <w:b/>
          <w:i/>
          <w:sz w:val="28"/>
          <w:lang w:val="ro-RO"/>
        </w:rPr>
      </w:pPr>
      <w:bookmarkStart w:id="0" w:name="_GoBack"/>
      <w:bookmarkEnd w:id="0"/>
      <w:r w:rsidRPr="000F0AED">
        <w:rPr>
          <w:rFonts w:ascii="Times New Roman" w:hAnsi="Times New Roman"/>
          <w:b/>
          <w:i/>
          <w:sz w:val="28"/>
          <w:lang w:val="ro-RO"/>
        </w:rPr>
        <w:t>Agenţia Română de Asigurare a Calităţii în Învăţământul Superior</w:t>
      </w:r>
    </w:p>
    <w:p w:rsidR="00B26B0E" w:rsidRPr="000F0AED" w:rsidRDefault="00B26B0E" w:rsidP="007E78D4">
      <w:pPr>
        <w:pStyle w:val="Heading9"/>
        <w:spacing w:after="120"/>
        <w:jc w:val="center"/>
        <w:rPr>
          <w:rFonts w:ascii="Times New Roman" w:hAnsi="Times New Roman"/>
          <w:b/>
          <w:sz w:val="32"/>
          <w:szCs w:val="32"/>
          <w:u w:val="single"/>
          <w:lang w:val="ro-RO"/>
        </w:rPr>
      </w:pPr>
      <w:r w:rsidRPr="000F0AED">
        <w:rPr>
          <w:rFonts w:ascii="Times New Roman" w:hAnsi="Times New Roman"/>
          <w:b/>
          <w:sz w:val="32"/>
          <w:szCs w:val="32"/>
          <w:u w:val="single"/>
          <w:lang w:val="ro-RO"/>
        </w:rPr>
        <w:t>FIŞA VIZITEI</w:t>
      </w:r>
    </w:p>
    <w:p w:rsidR="00B26B0E" w:rsidRPr="000F0AED" w:rsidRDefault="00B26B0E" w:rsidP="007E78D4">
      <w:pPr>
        <w:pStyle w:val="Heading9"/>
        <w:spacing w:after="120"/>
        <w:jc w:val="center"/>
        <w:rPr>
          <w:rFonts w:ascii="Times New Roman" w:hAnsi="Times New Roman" w:cs="Times New Roman"/>
          <w:b/>
          <w:i/>
          <w:sz w:val="28"/>
          <w:szCs w:val="28"/>
          <w:lang w:val="ro-RO"/>
        </w:rPr>
      </w:pPr>
      <w:r w:rsidRPr="000F0AED">
        <w:rPr>
          <w:rFonts w:ascii="Times New Roman" w:hAnsi="Times New Roman" w:cs="Times New Roman"/>
          <w:b/>
          <w:i/>
          <w:sz w:val="28"/>
          <w:szCs w:val="28"/>
          <w:lang w:val="ro-RO"/>
        </w:rPr>
        <w:t>b) STANDARDE ŞI INDICATORI DE PERFORMANȚĂ</w:t>
      </w:r>
    </w:p>
    <w:p w:rsidR="00B26B0E" w:rsidRPr="000F0AED" w:rsidRDefault="00B26B0E" w:rsidP="007E78D4">
      <w:pPr>
        <w:jc w:val="center"/>
        <w:rPr>
          <w:b/>
          <w:i/>
          <w:sz w:val="28"/>
          <w:lang w:val="ro-RO"/>
        </w:rPr>
      </w:pPr>
      <w:r w:rsidRPr="000F0AED">
        <w:rPr>
          <w:b/>
          <w:i/>
          <w:sz w:val="28"/>
          <w:lang w:val="ro-RO"/>
        </w:rPr>
        <w:t>pentru</w:t>
      </w:r>
    </w:p>
    <w:p w:rsidR="00B26B0E" w:rsidRPr="000F0AED" w:rsidRDefault="00B26B0E" w:rsidP="007E78D4">
      <w:pPr>
        <w:jc w:val="center"/>
        <w:rPr>
          <w:b/>
          <w:sz w:val="20"/>
          <w:lang w:val="ro-RO"/>
        </w:rPr>
      </w:pPr>
    </w:p>
    <w:p w:rsidR="00B26B0E" w:rsidRPr="000F0AED" w:rsidRDefault="00B26B0E" w:rsidP="007E78D4">
      <w:pPr>
        <w:spacing w:after="120"/>
        <w:jc w:val="center"/>
        <w:rPr>
          <w:b/>
          <w:lang w:val="ro-RO"/>
        </w:rPr>
      </w:pPr>
      <w:r w:rsidRPr="000F0AED">
        <w:rPr>
          <w:b/>
          <w:lang w:val="ro-RO"/>
        </w:rPr>
        <w:t>evaluarea instituţională în vederea  evaluării externe a calităţii educaţiei</w:t>
      </w:r>
    </w:p>
    <w:p w:rsidR="00B26B0E" w:rsidRPr="000F0AED" w:rsidRDefault="00B26B0E" w:rsidP="007E78D4">
      <w:pPr>
        <w:tabs>
          <w:tab w:val="left" w:pos="-1701"/>
          <w:tab w:val="left" w:pos="-1276"/>
        </w:tabs>
        <w:rPr>
          <w:b/>
          <w:i/>
          <w:lang w:val="ro-RO"/>
        </w:rPr>
      </w:pPr>
      <w:r w:rsidRPr="000F0AED">
        <w:rPr>
          <w:b/>
          <w:i/>
          <w:lang w:val="ro-RO"/>
        </w:rPr>
        <w:tab/>
      </w:r>
      <w:r w:rsidRPr="000F0AED">
        <w:rPr>
          <w:b/>
          <w:i/>
          <w:lang w:val="ro-RO"/>
        </w:rPr>
        <w:tab/>
      </w:r>
      <w:r w:rsidRPr="000F0AED">
        <w:rPr>
          <w:b/>
          <w:i/>
          <w:lang w:val="ro-RO"/>
        </w:rPr>
        <w:tab/>
      </w:r>
    </w:p>
    <w:p w:rsidR="00B26B0E" w:rsidRPr="000F0AED" w:rsidRDefault="00B26B0E" w:rsidP="007E78D4">
      <w:pPr>
        <w:tabs>
          <w:tab w:val="left" w:pos="-1701"/>
          <w:tab w:val="left" w:pos="-1276"/>
        </w:tabs>
        <w:rPr>
          <w:b/>
          <w:i/>
          <w:color w:val="000000"/>
          <w:lang w:val="ro-RO"/>
        </w:rPr>
      </w:pPr>
      <w:r w:rsidRPr="000F0AED">
        <w:rPr>
          <w:b/>
          <w:i/>
          <w:lang w:val="ro-RO"/>
        </w:rPr>
        <w:tab/>
      </w:r>
      <w:r w:rsidRPr="000F0AED">
        <w:rPr>
          <w:b/>
          <w:i/>
          <w:lang w:val="ro-RO"/>
        </w:rPr>
        <w:tab/>
      </w:r>
      <w:r w:rsidRPr="000F0AED">
        <w:rPr>
          <w:b/>
          <w:i/>
          <w:lang w:val="ro-RO"/>
        </w:rPr>
        <w:tab/>
      </w:r>
      <w:r w:rsidRPr="000F0AED">
        <w:rPr>
          <w:b/>
          <w:i/>
          <w:color w:val="000000"/>
          <w:lang w:val="ro-RO"/>
        </w:rPr>
        <w:t xml:space="preserve"> Data vizitei:</w:t>
      </w:r>
      <w:r>
        <w:rPr>
          <w:b/>
          <w:i/>
          <w:color w:val="000000"/>
          <w:lang w:val="ro-RO"/>
        </w:rPr>
        <w:t xml:space="preserve"> </w:t>
      </w:r>
      <w:r w:rsidRPr="000F0AED">
        <w:rPr>
          <w:b/>
          <w:i/>
          <w:color w:val="000000"/>
          <w:lang w:val="ro-RO"/>
        </w:rPr>
        <w:t xml:space="preserve"> </w:t>
      </w:r>
    </w:p>
    <w:p w:rsidR="00B26B0E" w:rsidRPr="000F0AED" w:rsidRDefault="00B26B0E" w:rsidP="007E78D4">
      <w:pPr>
        <w:rPr>
          <w:b/>
          <w:color w:val="000000"/>
          <w:lang w:val="ro-RO"/>
        </w:rPr>
      </w:pPr>
    </w:p>
    <w:tbl>
      <w:tblPr>
        <w:tblW w:w="13788" w:type="dxa"/>
        <w:tblLook w:val="04A0"/>
      </w:tblPr>
      <w:tblGrid>
        <w:gridCol w:w="7905"/>
        <w:gridCol w:w="5883"/>
      </w:tblGrid>
      <w:tr w:rsidR="00B26B0E" w:rsidRPr="00B37129" w:rsidTr="00F947CD">
        <w:tc>
          <w:tcPr>
            <w:tcW w:w="7905" w:type="dxa"/>
          </w:tcPr>
          <w:p w:rsidR="00B26B0E" w:rsidRDefault="00B26B0E" w:rsidP="00F947CD">
            <w:pPr>
              <w:rPr>
                <w:b/>
                <w:color w:val="000000"/>
                <w:lang w:val="ro-RO"/>
              </w:rPr>
            </w:pPr>
            <w:r>
              <w:rPr>
                <w:b/>
                <w:color w:val="000000"/>
                <w:lang w:val="ro-RO"/>
              </w:rPr>
              <w:t xml:space="preserve">ETS - </w:t>
            </w:r>
            <w:r w:rsidRPr="00CA393B">
              <w:rPr>
                <w:b/>
                <w:color w:val="000000"/>
                <w:lang w:val="ro-RO"/>
              </w:rPr>
              <w:t>Director de misiune:</w:t>
            </w:r>
            <w:r w:rsidRPr="00CA393B">
              <w:rPr>
                <w:b/>
                <w:sz w:val="22"/>
                <w:szCs w:val="22"/>
                <w:lang w:val="ro-RO" w:eastAsia="en-US"/>
              </w:rPr>
              <w:t xml:space="preserve"> </w:t>
            </w:r>
            <w:r w:rsidRPr="00CA393B">
              <w:rPr>
                <w:b/>
                <w:color w:val="000000"/>
                <w:lang w:val="ro-RO"/>
              </w:rPr>
              <w:t xml:space="preserve">Prof. univ. dr. </w:t>
            </w:r>
          </w:p>
          <w:p w:rsidR="00B26B0E" w:rsidRPr="00CA393B" w:rsidRDefault="00B26B0E" w:rsidP="00F947CD">
            <w:pPr>
              <w:rPr>
                <w:b/>
                <w:lang w:val="ro-RO"/>
              </w:rPr>
            </w:pPr>
          </w:p>
        </w:tc>
        <w:tc>
          <w:tcPr>
            <w:tcW w:w="5883" w:type="dxa"/>
          </w:tcPr>
          <w:p w:rsidR="00B26B0E" w:rsidRPr="00CA393B" w:rsidRDefault="00B26B0E" w:rsidP="00F947CD">
            <w:pPr>
              <w:rPr>
                <w:b/>
                <w:color w:val="000000"/>
                <w:lang w:val="ro-RO"/>
              </w:rPr>
            </w:pPr>
          </w:p>
        </w:tc>
      </w:tr>
      <w:tr w:rsidR="00B26B0E" w:rsidRPr="00CA393B" w:rsidTr="00F947CD">
        <w:tc>
          <w:tcPr>
            <w:tcW w:w="7905" w:type="dxa"/>
          </w:tcPr>
          <w:p w:rsidR="00B26B0E" w:rsidRDefault="00B26B0E" w:rsidP="00F947CD">
            <w:pPr>
              <w:rPr>
                <w:b/>
                <w:lang w:val="ro-RO"/>
              </w:rPr>
            </w:pPr>
            <w:r>
              <w:rPr>
                <w:b/>
                <w:lang w:val="ro-RO"/>
              </w:rPr>
              <w:t xml:space="preserve">ETS - </w:t>
            </w:r>
            <w:r w:rsidRPr="00CA393B">
              <w:rPr>
                <w:b/>
                <w:lang w:val="ro-RO"/>
              </w:rPr>
              <w:t xml:space="preserve">Coordonator evaluare: Prof. univ. dr. </w:t>
            </w:r>
          </w:p>
          <w:p w:rsidR="00B26B0E" w:rsidRPr="00CA393B" w:rsidRDefault="00B26B0E" w:rsidP="00F947CD">
            <w:pPr>
              <w:rPr>
                <w:b/>
                <w:color w:val="000000"/>
                <w:lang w:val="ro-RO"/>
              </w:rPr>
            </w:pPr>
          </w:p>
        </w:tc>
        <w:tc>
          <w:tcPr>
            <w:tcW w:w="5883" w:type="dxa"/>
          </w:tcPr>
          <w:p w:rsidR="00B26B0E" w:rsidRPr="00CA393B" w:rsidRDefault="00B26B0E" w:rsidP="00F947CD">
            <w:pPr>
              <w:rPr>
                <w:b/>
                <w:color w:val="000000"/>
                <w:lang w:val="ro-RO"/>
              </w:rPr>
            </w:pPr>
          </w:p>
        </w:tc>
      </w:tr>
      <w:tr w:rsidR="00B26B0E" w:rsidRPr="00B37129" w:rsidTr="00F947CD">
        <w:tc>
          <w:tcPr>
            <w:tcW w:w="7905" w:type="dxa"/>
          </w:tcPr>
          <w:p w:rsidR="00B26B0E" w:rsidRPr="00CA393B" w:rsidRDefault="00B26B0E" w:rsidP="00F947CD">
            <w:pPr>
              <w:rPr>
                <w:b/>
                <w:lang w:val="ro-RO"/>
              </w:rPr>
            </w:pPr>
            <w:r>
              <w:rPr>
                <w:b/>
                <w:lang w:val="ro-RO"/>
              </w:rPr>
              <w:t xml:space="preserve">ETS - </w:t>
            </w:r>
            <w:r w:rsidRPr="00EC0DFC">
              <w:rPr>
                <w:b/>
                <w:lang w:val="ro-RO"/>
              </w:rPr>
              <w:t>Reprezentant Comisie Instituțională</w:t>
            </w:r>
            <w:r w:rsidRPr="00CA393B">
              <w:rPr>
                <w:b/>
                <w:lang w:val="ro-RO"/>
              </w:rPr>
              <w:t xml:space="preserve">: Prof. univ. dr. </w:t>
            </w:r>
          </w:p>
          <w:p w:rsidR="00B26B0E" w:rsidRPr="00CA393B" w:rsidRDefault="00B26B0E" w:rsidP="00F947CD">
            <w:pPr>
              <w:rPr>
                <w:b/>
                <w:lang w:val="ro-RO"/>
              </w:rPr>
            </w:pPr>
          </w:p>
        </w:tc>
        <w:tc>
          <w:tcPr>
            <w:tcW w:w="5883" w:type="dxa"/>
          </w:tcPr>
          <w:p w:rsidR="00B26B0E" w:rsidRPr="00CA393B" w:rsidRDefault="00B26B0E" w:rsidP="00F947CD">
            <w:pPr>
              <w:rPr>
                <w:b/>
                <w:color w:val="000000"/>
                <w:lang w:val="ro-RO"/>
              </w:rPr>
            </w:pPr>
          </w:p>
        </w:tc>
      </w:tr>
      <w:tr w:rsidR="00B26B0E" w:rsidRPr="00CA393B" w:rsidTr="00F947CD">
        <w:tc>
          <w:tcPr>
            <w:tcW w:w="7905" w:type="dxa"/>
          </w:tcPr>
          <w:p w:rsidR="00B26B0E" w:rsidRPr="00CA393B" w:rsidRDefault="00B26B0E" w:rsidP="00F947CD">
            <w:pPr>
              <w:rPr>
                <w:b/>
                <w:i/>
                <w:lang w:val="ro-RO"/>
              </w:rPr>
            </w:pPr>
          </w:p>
          <w:p w:rsidR="00B26B0E" w:rsidRPr="00CA393B" w:rsidRDefault="00B26B0E" w:rsidP="00F947CD">
            <w:pPr>
              <w:rPr>
                <w:b/>
                <w:i/>
                <w:lang w:val="ro-RO"/>
              </w:rPr>
            </w:pPr>
            <w:r w:rsidRPr="00CA393B">
              <w:rPr>
                <w:b/>
                <w:i/>
                <w:lang w:val="ro-RO"/>
              </w:rPr>
              <w:t>PROGRAME EVALUATE</w:t>
            </w:r>
          </w:p>
          <w:p w:rsidR="00B26B0E" w:rsidRPr="00CA393B" w:rsidRDefault="00B26B0E" w:rsidP="00F947CD">
            <w:pPr>
              <w:rPr>
                <w:b/>
                <w:i/>
                <w:lang w:val="ro-RO"/>
              </w:rPr>
            </w:pPr>
          </w:p>
        </w:tc>
        <w:tc>
          <w:tcPr>
            <w:tcW w:w="5883" w:type="dxa"/>
          </w:tcPr>
          <w:p w:rsidR="00B26B0E" w:rsidRPr="00CA393B" w:rsidRDefault="00B26B0E" w:rsidP="00F947CD">
            <w:pPr>
              <w:rPr>
                <w:b/>
                <w:color w:val="000000"/>
                <w:lang w:val="ro-RO"/>
              </w:rPr>
            </w:pPr>
          </w:p>
        </w:tc>
      </w:tr>
    </w:tbl>
    <w:p w:rsidR="00B37129" w:rsidRDefault="00B37129">
      <w:pPr>
        <w:overflowPunct/>
        <w:autoSpaceDE/>
        <w:autoSpaceDN/>
        <w:adjustRightInd/>
        <w:spacing w:after="200" w:line="276" w:lineRule="auto"/>
        <w:textAlignment w:val="auto"/>
        <w:rPr>
          <w:rFonts w:ascii="Arial" w:hAnsi="Arial" w:cs="Arial"/>
          <w:sz w:val="22"/>
          <w:szCs w:val="22"/>
          <w:lang w:val="ro-RO"/>
        </w:rPr>
      </w:pPr>
    </w:p>
    <w:p w:rsidR="00B37129" w:rsidRDefault="00B37129">
      <w:pPr>
        <w:overflowPunct/>
        <w:autoSpaceDE/>
        <w:autoSpaceDN/>
        <w:adjustRightInd/>
        <w:spacing w:after="200" w:line="276" w:lineRule="auto"/>
        <w:textAlignment w:val="auto"/>
        <w:rPr>
          <w:rFonts w:ascii="Arial" w:hAnsi="Arial" w:cs="Arial"/>
          <w:sz w:val="22"/>
          <w:szCs w:val="22"/>
          <w:lang w:val="ro-RO"/>
        </w:rPr>
      </w:pPr>
      <w:r>
        <w:rPr>
          <w:rFonts w:ascii="Arial" w:hAnsi="Arial" w:cs="Arial"/>
          <w:sz w:val="22"/>
          <w:szCs w:val="22"/>
          <w:lang w:val="ro-RO"/>
        </w:rPr>
        <w:br w:type="page"/>
      </w:r>
    </w:p>
    <w:p w:rsidR="00B26B0E" w:rsidRPr="00B37129" w:rsidRDefault="00B26B0E">
      <w:pPr>
        <w:overflowPunct/>
        <w:autoSpaceDE/>
        <w:autoSpaceDN/>
        <w:adjustRightInd/>
        <w:spacing w:after="200" w:line="276" w:lineRule="auto"/>
        <w:textAlignment w:val="auto"/>
        <w:rPr>
          <w:rFonts w:ascii="Arial" w:hAnsi="Arial" w:cs="Arial"/>
          <w:sz w:val="4"/>
          <w:szCs w:val="22"/>
          <w:lang w:val="ro-RO"/>
        </w:rPr>
      </w:pPr>
    </w:p>
    <w:tbl>
      <w:tblPr>
        <w:tblW w:w="1460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800"/>
        <w:gridCol w:w="1440"/>
        <w:gridCol w:w="960"/>
        <w:gridCol w:w="476"/>
        <w:gridCol w:w="4204"/>
        <w:gridCol w:w="5721"/>
      </w:tblGrid>
      <w:tr w:rsidR="00B26B0E" w:rsidRPr="000F0AED" w:rsidTr="00B26B0E">
        <w:tc>
          <w:tcPr>
            <w:tcW w:w="14601" w:type="dxa"/>
            <w:gridSpan w:val="6"/>
            <w:tcBorders>
              <w:top w:val="double" w:sz="4" w:space="0" w:color="auto"/>
              <w:left w:val="double" w:sz="4" w:space="0" w:color="auto"/>
              <w:bottom w:val="double" w:sz="4" w:space="0" w:color="auto"/>
              <w:right w:val="double" w:sz="4" w:space="0" w:color="auto"/>
            </w:tcBorders>
            <w:shd w:val="clear" w:color="auto" w:fill="B3B3B3"/>
          </w:tcPr>
          <w:p w:rsidR="00B26B0E" w:rsidRPr="000F0AED" w:rsidRDefault="00B26B0E" w:rsidP="004749AA">
            <w:pPr>
              <w:pStyle w:val="Heading6"/>
              <w:ind w:left="855"/>
              <w:jc w:val="center"/>
              <w:rPr>
                <w:sz w:val="28"/>
                <w:szCs w:val="28"/>
                <w:lang w:val="ro-RO"/>
              </w:rPr>
            </w:pPr>
            <w:r w:rsidRPr="000F0AED">
              <w:rPr>
                <w:bCs w:val="0"/>
                <w:sz w:val="28"/>
                <w:szCs w:val="28"/>
                <w:lang w:val="ro-RO"/>
              </w:rPr>
              <w:t>Domeniul A.  CAPACITATEA INSTITUŢIONALĂ</w:t>
            </w:r>
          </w:p>
        </w:tc>
      </w:tr>
      <w:tr w:rsidR="00B26B0E" w:rsidRPr="000F0AED" w:rsidTr="00B26B0E">
        <w:trPr>
          <w:trHeight w:val="556"/>
        </w:trPr>
        <w:tc>
          <w:tcPr>
            <w:tcW w:w="1800" w:type="dxa"/>
            <w:tcBorders>
              <w:top w:val="double" w:sz="4" w:space="0" w:color="auto"/>
              <w:left w:val="double" w:sz="4" w:space="0" w:color="auto"/>
            </w:tcBorders>
            <w:vAlign w:val="center"/>
          </w:tcPr>
          <w:p w:rsidR="00B26B0E" w:rsidRPr="000F0AED" w:rsidRDefault="00B26B0E" w:rsidP="004749AA">
            <w:pPr>
              <w:jc w:val="center"/>
              <w:rPr>
                <w:b/>
                <w:bCs/>
                <w:i/>
                <w:caps/>
                <w:szCs w:val="22"/>
                <w:lang w:val="ro-RO"/>
              </w:rPr>
            </w:pPr>
            <w:r w:rsidRPr="000F0AED">
              <w:rPr>
                <w:b/>
                <w:bCs/>
                <w:i/>
                <w:caps/>
                <w:sz w:val="22"/>
                <w:szCs w:val="22"/>
                <w:lang w:val="ro-RO"/>
              </w:rPr>
              <w:t xml:space="preserve">Criteriul </w:t>
            </w:r>
          </w:p>
        </w:tc>
        <w:tc>
          <w:tcPr>
            <w:tcW w:w="7080" w:type="dxa"/>
            <w:gridSpan w:val="4"/>
            <w:tcBorders>
              <w:top w:val="double" w:sz="4" w:space="0" w:color="auto"/>
            </w:tcBorders>
            <w:vAlign w:val="center"/>
          </w:tcPr>
          <w:p w:rsidR="00B26B0E" w:rsidRPr="000F0AED" w:rsidRDefault="00B26B0E" w:rsidP="004749AA">
            <w:pPr>
              <w:jc w:val="center"/>
              <w:rPr>
                <w:b/>
                <w:i/>
                <w:caps/>
                <w:lang w:val="ro-RO"/>
              </w:rPr>
            </w:pPr>
            <w:bookmarkStart w:id="1" w:name="_Toc141590793"/>
            <w:r w:rsidRPr="000F0AED">
              <w:rPr>
                <w:b/>
                <w:i/>
                <w:caps/>
                <w:sz w:val="22"/>
                <w:szCs w:val="22"/>
                <w:lang w:val="ro-RO"/>
              </w:rPr>
              <w:t>Standarde (S) şi indicatori de performanţă (IP)</w:t>
            </w:r>
            <w:bookmarkEnd w:id="1"/>
          </w:p>
        </w:tc>
        <w:tc>
          <w:tcPr>
            <w:tcW w:w="5721" w:type="dxa"/>
            <w:tcBorders>
              <w:top w:val="double" w:sz="4" w:space="0" w:color="auto"/>
              <w:right w:val="double" w:sz="4" w:space="0" w:color="auto"/>
            </w:tcBorders>
            <w:vAlign w:val="center"/>
          </w:tcPr>
          <w:p w:rsidR="00B26B0E" w:rsidRPr="000F0AED" w:rsidRDefault="00B26B0E" w:rsidP="004749AA">
            <w:pPr>
              <w:jc w:val="center"/>
              <w:rPr>
                <w:b/>
                <w:i/>
                <w:caps/>
                <w:lang w:val="ro-RO"/>
              </w:rPr>
            </w:pPr>
            <w:r w:rsidRPr="000F0AED">
              <w:rPr>
                <w:b/>
                <w:i/>
                <w:caps/>
                <w:lang w:val="ro-RO"/>
              </w:rPr>
              <w:t>CONSTATĂRI</w:t>
            </w:r>
          </w:p>
        </w:tc>
      </w:tr>
      <w:tr w:rsidR="00B26B0E" w:rsidRPr="000F0AED" w:rsidTr="00B26B0E">
        <w:tc>
          <w:tcPr>
            <w:tcW w:w="1800" w:type="dxa"/>
            <w:vMerge w:val="restart"/>
            <w:tcBorders>
              <w:left w:val="double" w:sz="4" w:space="0" w:color="auto"/>
            </w:tcBorders>
            <w:shd w:val="clear" w:color="auto" w:fill="auto"/>
            <w:vAlign w:val="center"/>
          </w:tcPr>
          <w:p w:rsidR="00B26B0E" w:rsidRPr="000F0AED" w:rsidRDefault="00B26B0E" w:rsidP="00B26B0E">
            <w:pPr>
              <w:ind w:left="110"/>
              <w:jc w:val="center"/>
              <w:rPr>
                <w:b/>
                <w:sz w:val="18"/>
                <w:szCs w:val="18"/>
                <w:lang w:val="ro-RO"/>
              </w:rPr>
            </w:pPr>
            <w:r w:rsidRPr="000F0AED">
              <w:rPr>
                <w:b/>
                <w:bCs/>
                <w:i/>
                <w:caps/>
                <w:sz w:val="18"/>
                <w:szCs w:val="18"/>
                <w:lang w:val="ro-RO"/>
              </w:rPr>
              <w:t>A.1 – Structurile instituţionale, administrative şi manageriale</w:t>
            </w:r>
          </w:p>
        </w:tc>
        <w:tc>
          <w:tcPr>
            <w:tcW w:w="12801" w:type="dxa"/>
            <w:gridSpan w:val="5"/>
            <w:tcBorders>
              <w:right w:val="double" w:sz="4" w:space="0" w:color="auto"/>
            </w:tcBorders>
            <w:vAlign w:val="center"/>
          </w:tcPr>
          <w:p w:rsidR="00B26B0E" w:rsidRPr="000F0AED" w:rsidRDefault="00B26B0E" w:rsidP="004749AA">
            <w:pPr>
              <w:rPr>
                <w:i/>
                <w:caps/>
                <w:sz w:val="20"/>
                <w:lang w:val="ro-RO"/>
              </w:rPr>
            </w:pPr>
          </w:p>
          <w:p w:rsidR="00B26B0E" w:rsidRPr="000F0AED" w:rsidRDefault="00B26B0E" w:rsidP="004749AA">
            <w:pPr>
              <w:tabs>
                <w:tab w:val="left" w:pos="7092"/>
              </w:tabs>
              <w:jc w:val="center"/>
              <w:rPr>
                <w:sz w:val="20"/>
                <w:lang w:val="ro-RO"/>
              </w:rPr>
            </w:pPr>
            <w:r w:rsidRPr="000F0AED">
              <w:rPr>
                <w:i/>
                <w:caps/>
                <w:sz w:val="20"/>
                <w:lang w:val="ro-RO"/>
              </w:rPr>
              <w:t>S.A.1.1. Misiune, obiective şi integritate academică</w:t>
            </w:r>
          </w:p>
        </w:tc>
      </w:tr>
      <w:tr w:rsidR="00B26B0E" w:rsidRPr="000C610D"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1. Misiune şi obiective</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este înfiinţată şi funcţionează conform legii. Instituţia are o Cartă Universitară ale cărei prevederi sunt concordante cu legislaţia naţională şi cu principiile Spaţiului European al Învăţământului Superior şi sunt cunoscute de membrii comunităţii universitare. Misiunea şi obiectivele asumate de instituţie o individualizează în sistemul naţional de învăţământ superior prin claritate, distincţie şi specificitate. </w:t>
            </w:r>
          </w:p>
        </w:tc>
        <w:tc>
          <w:tcPr>
            <w:tcW w:w="5721" w:type="dxa"/>
            <w:tcBorders>
              <w:right w:val="double" w:sz="4" w:space="0" w:color="auto"/>
            </w:tcBorders>
            <w:vAlign w:val="center"/>
          </w:tcPr>
          <w:p w:rsidR="00B26B0E" w:rsidRPr="000F0AED" w:rsidRDefault="00B26B0E" w:rsidP="0055514D">
            <w:pPr>
              <w:pStyle w:val="Default"/>
              <w:jc w:val="both"/>
              <w:rPr>
                <w:sz w:val="20"/>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jc w:val="both"/>
              <w:rPr>
                <w:sz w:val="20"/>
                <w:lang w:val="ro-RO"/>
              </w:rPr>
            </w:pPr>
            <w:r w:rsidRPr="000F0AED">
              <w:rPr>
                <w:b/>
                <w:sz w:val="20"/>
                <w:lang w:val="ro-RO"/>
              </w:rPr>
              <w:t>Ref.1</w:t>
            </w:r>
            <w:r w:rsidRPr="000F0AED">
              <w:rPr>
                <w:sz w:val="20"/>
                <w:lang w:val="ro-RO"/>
              </w:rPr>
              <w:t>: Prin formulare şi mod de realizare, misiunea şi obiectivele instituţiei o individualizează în Spaţiul European al Învăţământului Superior.</w:t>
            </w:r>
          </w:p>
        </w:tc>
        <w:tc>
          <w:tcPr>
            <w:tcW w:w="5721" w:type="dxa"/>
            <w:tcBorders>
              <w:right w:val="double" w:sz="4" w:space="0" w:color="auto"/>
            </w:tcBorders>
            <w:vAlign w:val="center"/>
          </w:tcPr>
          <w:p w:rsidR="00B26B0E" w:rsidRPr="000F0AED" w:rsidRDefault="00B26B0E" w:rsidP="006B7106">
            <w:pPr>
              <w:ind w:firstLine="462"/>
              <w:jc w:val="both"/>
              <w:rPr>
                <w:lang w:val="ro-RO"/>
              </w:rPr>
            </w:pPr>
          </w:p>
        </w:tc>
      </w:tr>
      <w:tr w:rsidR="00B26B0E" w:rsidRPr="0055514D" w:rsidTr="00B26B0E">
        <w:trPr>
          <w:trHeight w:val="725"/>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jc w:val="both"/>
              <w:rPr>
                <w:b/>
                <w:sz w:val="20"/>
                <w:lang w:val="ro-RO"/>
              </w:rPr>
            </w:pPr>
            <w:r w:rsidRPr="000F0AED">
              <w:rPr>
                <w:b/>
                <w:sz w:val="20"/>
                <w:lang w:val="ro-RO"/>
              </w:rPr>
              <w:t>Ref.2: (se poate continua cu indicatori de performanta proprii institutiei, la nivele superioare)</w:t>
            </w:r>
          </w:p>
          <w:p w:rsidR="00B26B0E" w:rsidRPr="000F0AED" w:rsidRDefault="00B26B0E" w:rsidP="004749AA">
            <w:pPr>
              <w:jc w:val="both"/>
              <w:rPr>
                <w:b/>
                <w:sz w:val="20"/>
                <w:lang w:val="ro-RO"/>
              </w:rPr>
            </w:pPr>
            <w:r>
              <w:rPr>
                <w:b/>
                <w:sz w:val="20"/>
                <w:lang w:val="ro-RO"/>
              </w:rPr>
              <w:t xml:space="preserve">Gradul de penetrare a ofertei educaționale </w:t>
            </w:r>
          </w:p>
        </w:tc>
        <w:tc>
          <w:tcPr>
            <w:tcW w:w="5721" w:type="dxa"/>
            <w:tcBorders>
              <w:right w:val="double" w:sz="4" w:space="0" w:color="auto"/>
            </w:tcBorders>
            <w:vAlign w:val="center"/>
          </w:tcPr>
          <w:p w:rsidR="00B26B0E" w:rsidRPr="00F02E74" w:rsidRDefault="00B26B0E" w:rsidP="00F02E74">
            <w:pPr>
              <w:jc w:val="both"/>
              <w:rPr>
                <w:color w:val="000000" w:themeColor="text1"/>
                <w:sz w:val="20"/>
                <w:lang w:val="ro-RO"/>
              </w:rPr>
            </w:pPr>
          </w:p>
        </w:tc>
      </w:tr>
      <w:tr w:rsidR="00B26B0E" w:rsidRPr="00B37129" w:rsidTr="00B26B0E">
        <w:trPr>
          <w:trHeight w:val="226"/>
        </w:trPr>
        <w:tc>
          <w:tcPr>
            <w:tcW w:w="1800" w:type="dxa"/>
            <w:vMerge/>
            <w:tcBorders>
              <w:left w:val="double" w:sz="4" w:space="0" w:color="auto"/>
            </w:tcBorders>
            <w:shd w:val="clear" w:color="auto" w:fill="auto"/>
            <w:vAlign w:val="center"/>
          </w:tcPr>
          <w:p w:rsidR="00B26B0E" w:rsidRPr="000F0AED" w:rsidRDefault="00B26B0E" w:rsidP="004749AA">
            <w:pPr>
              <w:rPr>
                <w:lang w:val="ro-RO"/>
              </w:rPr>
            </w:pPr>
          </w:p>
        </w:tc>
        <w:tc>
          <w:tcPr>
            <w:tcW w:w="1440" w:type="dxa"/>
            <w:vMerge w:val="restart"/>
            <w:vAlign w:val="center"/>
          </w:tcPr>
          <w:p w:rsidR="00B26B0E" w:rsidRPr="000F0AED" w:rsidRDefault="00B26B0E" w:rsidP="004749AA">
            <w:pPr>
              <w:pStyle w:val="Heading5"/>
              <w:rPr>
                <w:i w:val="0"/>
                <w:sz w:val="20"/>
                <w:szCs w:val="20"/>
                <w:lang w:val="ro-RO"/>
              </w:rPr>
            </w:pPr>
            <w:r w:rsidRPr="000F0AED">
              <w:rPr>
                <w:i w:val="0"/>
                <w:sz w:val="20"/>
                <w:szCs w:val="20"/>
                <w:lang w:val="ro-RO"/>
              </w:rPr>
              <w:t>2. Integritate academică</w:t>
            </w:r>
          </w:p>
          <w:p w:rsidR="00B26B0E" w:rsidRPr="000F0AED" w:rsidRDefault="00B26B0E" w:rsidP="004749AA">
            <w:pPr>
              <w:rPr>
                <w:sz w:val="20"/>
                <w:lang w:val="ro-RO"/>
              </w:rPr>
            </w:pP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are un cod al eticii şi integrităţii academice prin care apără valorile libertăţii academice, autonomiei universitare şi integrităţii etice şi dispune de practici şi mecanisme clare pentru aplicarea codului.</w:t>
            </w:r>
          </w:p>
        </w:tc>
        <w:tc>
          <w:tcPr>
            <w:tcW w:w="5721" w:type="dxa"/>
            <w:tcBorders>
              <w:right w:val="double" w:sz="4" w:space="0" w:color="auto"/>
            </w:tcBorders>
            <w:vAlign w:val="center"/>
          </w:tcPr>
          <w:p w:rsidR="00B26B0E" w:rsidRPr="00B26B0E" w:rsidRDefault="00B26B0E" w:rsidP="00481019">
            <w:pPr>
              <w:overflowPunct/>
              <w:jc w:val="both"/>
              <w:textAlignment w:val="auto"/>
              <w:rPr>
                <w:rFonts w:eastAsiaTheme="minorHAnsi"/>
                <w:sz w:val="20"/>
                <w:lang w:val="ro-RO" w:eastAsia="en-US"/>
              </w:rPr>
            </w:pPr>
          </w:p>
        </w:tc>
      </w:tr>
      <w:tr w:rsidR="00B26B0E" w:rsidRPr="000C610D" w:rsidTr="00B26B0E">
        <w:trPr>
          <w:trHeight w:val="1119"/>
        </w:trPr>
        <w:tc>
          <w:tcPr>
            <w:tcW w:w="1800" w:type="dxa"/>
            <w:vMerge/>
            <w:tcBorders>
              <w:left w:val="double" w:sz="4" w:space="0" w:color="auto"/>
            </w:tcBorders>
            <w:shd w:val="clear" w:color="auto" w:fill="auto"/>
            <w:vAlign w:val="center"/>
          </w:tcPr>
          <w:p w:rsidR="00B26B0E" w:rsidRPr="000F0AED" w:rsidRDefault="00B26B0E" w:rsidP="004749AA">
            <w:pPr>
              <w:rPr>
                <w:bCs/>
                <w:i/>
                <w:caps/>
                <w:sz w:val="20"/>
                <w:lang w:val="ro-RO"/>
              </w:rPr>
            </w:pPr>
          </w:p>
        </w:tc>
        <w:tc>
          <w:tcPr>
            <w:tcW w:w="1440" w:type="dxa"/>
            <w:vMerge/>
          </w:tcPr>
          <w:p w:rsidR="00B26B0E" w:rsidRPr="000F0AED" w:rsidRDefault="00B26B0E" w:rsidP="004749AA">
            <w:pPr>
              <w:pStyle w:val="Heading5"/>
              <w:rPr>
                <w:i w:val="0"/>
                <w:sz w:val="20"/>
                <w:szCs w:val="20"/>
                <w:lang w:val="ro-RO"/>
              </w:rPr>
            </w:pPr>
          </w:p>
        </w:tc>
        <w:tc>
          <w:tcPr>
            <w:tcW w:w="5640" w:type="dxa"/>
            <w:gridSpan w:val="3"/>
          </w:tcPr>
          <w:p w:rsidR="00B26B0E" w:rsidRPr="000F0AED" w:rsidRDefault="00B26B0E" w:rsidP="004749AA">
            <w:pPr>
              <w:jc w:val="both"/>
              <w:rPr>
                <w:sz w:val="20"/>
                <w:lang w:val="ro-RO"/>
              </w:rPr>
            </w:pPr>
            <w:r w:rsidRPr="000F0AED">
              <w:rPr>
                <w:b/>
                <w:sz w:val="20"/>
                <w:lang w:val="ro-RO"/>
              </w:rPr>
              <w:t>Ref.1:</w:t>
            </w:r>
            <w:r w:rsidRPr="000F0AED">
              <w:rPr>
                <w:sz w:val="20"/>
                <w:lang w:val="ro-RO"/>
              </w:rPr>
              <w:t xml:space="preserve"> Instituţia nu numai că are un astfel de cod şi practici asociate, dar controlează şi poate face dovada aplicării lor, cu privire la activităţile de conducere, cercetare, predare sau examinare. Rezultatele acestui control sunt făcute publice</w:t>
            </w:r>
          </w:p>
        </w:tc>
        <w:tc>
          <w:tcPr>
            <w:tcW w:w="5721" w:type="dxa"/>
            <w:tcBorders>
              <w:right w:val="double" w:sz="4" w:space="0" w:color="auto"/>
            </w:tcBorders>
            <w:vAlign w:val="center"/>
          </w:tcPr>
          <w:p w:rsidR="00B26B0E" w:rsidRPr="00CE30A9" w:rsidRDefault="00B26B0E" w:rsidP="00C17BC3">
            <w:pPr>
              <w:rPr>
                <w:rFonts w:eastAsiaTheme="minorHAnsi"/>
                <w:sz w:val="20"/>
                <w:lang w:val="ro-RO" w:eastAsia="en-US"/>
              </w:rPr>
            </w:pPr>
          </w:p>
        </w:tc>
      </w:tr>
      <w:tr w:rsidR="00B26B0E" w:rsidRPr="00B37129" w:rsidTr="00B26B0E">
        <w:trPr>
          <w:trHeight w:val="620"/>
        </w:trPr>
        <w:tc>
          <w:tcPr>
            <w:tcW w:w="1800" w:type="dxa"/>
            <w:vMerge/>
            <w:tcBorders>
              <w:left w:val="double" w:sz="4" w:space="0" w:color="auto"/>
            </w:tcBorders>
            <w:shd w:val="clear" w:color="auto" w:fill="auto"/>
            <w:vAlign w:val="center"/>
          </w:tcPr>
          <w:p w:rsidR="00B26B0E" w:rsidRPr="000F0AED" w:rsidRDefault="00B26B0E" w:rsidP="004749AA">
            <w:pPr>
              <w:rPr>
                <w:bCs/>
                <w:i/>
                <w:caps/>
                <w:sz w:val="20"/>
                <w:lang w:val="ro-RO"/>
              </w:rPr>
            </w:pPr>
          </w:p>
        </w:tc>
        <w:tc>
          <w:tcPr>
            <w:tcW w:w="1440" w:type="dxa"/>
            <w:vMerge/>
          </w:tcPr>
          <w:p w:rsidR="00B26B0E" w:rsidRPr="000F0AED" w:rsidRDefault="00B26B0E" w:rsidP="004749AA">
            <w:pPr>
              <w:pStyle w:val="Heading5"/>
              <w:rPr>
                <w:i w:val="0"/>
                <w:sz w:val="20"/>
                <w:szCs w:val="20"/>
                <w:lang w:val="ro-RO"/>
              </w:rPr>
            </w:pPr>
          </w:p>
        </w:tc>
        <w:tc>
          <w:tcPr>
            <w:tcW w:w="5640" w:type="dxa"/>
            <w:gridSpan w:val="3"/>
          </w:tcPr>
          <w:p w:rsidR="00B26B0E" w:rsidRPr="000F0AED" w:rsidRDefault="00B26B0E" w:rsidP="004749AA">
            <w:pPr>
              <w:jc w:val="both"/>
              <w:rPr>
                <w:b/>
                <w:sz w:val="20"/>
                <w:lang w:val="ro-RO"/>
              </w:rPr>
            </w:pPr>
            <w:r w:rsidRPr="000F0AED">
              <w:rPr>
                <w:b/>
                <w:sz w:val="20"/>
                <w:lang w:val="ro-RO"/>
              </w:rPr>
              <w:t>Ref.2: (se poate continua cu indicatori de performanta proprii instituției, la nivele superioare)</w:t>
            </w:r>
          </w:p>
        </w:tc>
        <w:tc>
          <w:tcPr>
            <w:tcW w:w="5721" w:type="dxa"/>
            <w:tcBorders>
              <w:right w:val="double" w:sz="4" w:space="0" w:color="auto"/>
            </w:tcBorders>
            <w:vAlign w:val="center"/>
          </w:tcPr>
          <w:p w:rsidR="00B26B0E" w:rsidRPr="000F0AED" w:rsidRDefault="00B26B0E" w:rsidP="004749AA">
            <w:pPr>
              <w:rPr>
                <w:lang w:val="ro-RO"/>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b/>
                <w:sz w:val="20"/>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3. Răspundere şi responsabilitate publică</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dispune de practici de auditare internă cu privire la principalele domenii ale activităţii universitare</w:t>
            </w:r>
          </w:p>
        </w:tc>
        <w:tc>
          <w:tcPr>
            <w:tcW w:w="5721" w:type="dxa"/>
            <w:tcBorders>
              <w:right w:val="double" w:sz="4" w:space="0" w:color="auto"/>
            </w:tcBorders>
            <w:vAlign w:val="center"/>
          </w:tcPr>
          <w:p w:rsidR="00B26B0E" w:rsidRPr="000F0AED" w:rsidRDefault="00B26B0E" w:rsidP="000D0ECC">
            <w:pPr>
              <w:jc w:val="both"/>
              <w:rPr>
                <w:sz w:val="20"/>
                <w:lang w:val="ro-RO"/>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b/>
                <w:sz w:val="20"/>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sz w:val="20"/>
                <w:lang w:val="ro-RO"/>
              </w:rPr>
            </w:pPr>
            <w:r w:rsidRPr="000F0AED">
              <w:rPr>
                <w:b/>
                <w:sz w:val="20"/>
                <w:lang w:val="ro-RO"/>
              </w:rPr>
              <w:t>Ref.1</w:t>
            </w:r>
            <w:r w:rsidRPr="000F0AED">
              <w:rPr>
                <w:sz w:val="20"/>
                <w:lang w:val="ro-RO"/>
              </w:rPr>
              <w:t xml:space="preserve">: Auditarea internă se realizează efectiv, periodic şi pe o bază reglementată intern, la nivel de instituţie şi de compartimente şi priveşte domeniile financiar-contabil, ale integrităţii academice, ale </w:t>
            </w:r>
            <w:r w:rsidRPr="000F0AED">
              <w:rPr>
                <w:sz w:val="20"/>
                <w:lang w:val="ro-RO"/>
              </w:rPr>
              <w:lastRenderedPageBreak/>
              <w:t>predării, examinării şi cercetării. Anual se publică un raport de audit academic, dezbătut în Senat, şi se elaborează un plan de ameliorare</w:t>
            </w:r>
          </w:p>
        </w:tc>
        <w:tc>
          <w:tcPr>
            <w:tcW w:w="5721" w:type="dxa"/>
            <w:tcBorders>
              <w:right w:val="double" w:sz="4" w:space="0" w:color="auto"/>
            </w:tcBorders>
            <w:vAlign w:val="center"/>
          </w:tcPr>
          <w:p w:rsidR="00B26B0E" w:rsidRPr="000F0AED" w:rsidRDefault="00B26B0E" w:rsidP="000944C7">
            <w:pPr>
              <w:rPr>
                <w:sz w:val="20"/>
                <w:lang w:val="ro-RO"/>
              </w:rPr>
            </w:pPr>
          </w:p>
        </w:tc>
      </w:tr>
      <w:tr w:rsidR="00B26B0E" w:rsidRPr="00B37129" w:rsidTr="00B26B0E">
        <w:trPr>
          <w:trHeight w:val="521"/>
        </w:trPr>
        <w:tc>
          <w:tcPr>
            <w:tcW w:w="1800" w:type="dxa"/>
            <w:vMerge/>
            <w:tcBorders>
              <w:left w:val="double" w:sz="4" w:space="0" w:color="auto"/>
            </w:tcBorders>
            <w:shd w:val="clear" w:color="auto" w:fill="auto"/>
          </w:tcPr>
          <w:p w:rsidR="00B26B0E" w:rsidRPr="000F0AED" w:rsidRDefault="00B26B0E" w:rsidP="004749AA">
            <w:pPr>
              <w:rPr>
                <w:b/>
                <w:sz w:val="20"/>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0C610D">
            <w:pPr>
              <w:rPr>
                <w:b/>
                <w:sz w:val="20"/>
                <w:lang w:val="ro-RO"/>
              </w:rPr>
            </w:pPr>
            <w:r w:rsidRPr="000F0AED">
              <w:rPr>
                <w:b/>
                <w:sz w:val="20"/>
                <w:lang w:val="ro-RO"/>
              </w:rPr>
              <w:t>Ref.2: (se poate continua cu indicatori de performanta proprii instituției, la nivele superioare)</w:t>
            </w:r>
            <w:r>
              <w:rPr>
                <w:b/>
                <w:sz w:val="20"/>
                <w:lang w:val="ro-RO"/>
              </w:rPr>
              <w:t xml:space="preserve">: </w:t>
            </w:r>
          </w:p>
        </w:tc>
        <w:tc>
          <w:tcPr>
            <w:tcW w:w="5721" w:type="dxa"/>
            <w:tcBorders>
              <w:right w:val="double" w:sz="4" w:space="0" w:color="auto"/>
            </w:tcBorders>
          </w:tcPr>
          <w:p w:rsidR="00B26B0E" w:rsidRPr="0070266E" w:rsidRDefault="00B26B0E" w:rsidP="0070266E">
            <w:pPr>
              <w:jc w:val="both"/>
              <w:rPr>
                <w:sz w:val="20"/>
                <w:lang w:val="ro-RO"/>
              </w:rPr>
            </w:pPr>
          </w:p>
        </w:tc>
      </w:tr>
      <w:tr w:rsidR="00B26B0E" w:rsidRPr="000F0AED" w:rsidTr="00B26B0E">
        <w:trPr>
          <w:trHeight w:val="361"/>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2801" w:type="dxa"/>
            <w:gridSpan w:val="5"/>
            <w:tcBorders>
              <w:right w:val="double" w:sz="4" w:space="0" w:color="auto"/>
            </w:tcBorders>
          </w:tcPr>
          <w:p w:rsidR="00B26B0E" w:rsidRPr="000F0AED" w:rsidRDefault="00B26B0E" w:rsidP="004749AA">
            <w:pPr>
              <w:rPr>
                <w:i/>
                <w:caps/>
                <w:sz w:val="20"/>
                <w:lang w:val="ro-RO"/>
              </w:rPr>
            </w:pPr>
          </w:p>
          <w:p w:rsidR="00B26B0E" w:rsidRPr="000F0AED" w:rsidRDefault="00B26B0E" w:rsidP="00956D91">
            <w:pPr>
              <w:jc w:val="center"/>
              <w:rPr>
                <w:i/>
                <w:caps/>
                <w:sz w:val="20"/>
                <w:lang w:val="ro-RO"/>
              </w:rPr>
            </w:pPr>
            <w:r w:rsidRPr="000F0AED">
              <w:rPr>
                <w:i/>
                <w:caps/>
                <w:sz w:val="20"/>
                <w:lang w:val="ro-RO"/>
              </w:rPr>
              <w:t>S.A.1.2. Conducere şi administraţie</w:t>
            </w:r>
          </w:p>
          <w:p w:rsidR="00B26B0E" w:rsidRPr="000F0AED" w:rsidRDefault="00B26B0E" w:rsidP="00956D91">
            <w:pPr>
              <w:jc w:val="center"/>
              <w:rPr>
                <w:i/>
                <w:caps/>
                <w:sz w:val="20"/>
                <w:lang w:val="ro-RO"/>
              </w:rPr>
            </w:pPr>
          </w:p>
        </w:tc>
      </w:tr>
      <w:tr w:rsidR="00B26B0E" w:rsidRPr="00B37129" w:rsidTr="00B26B0E">
        <w:trPr>
          <w:trHeight w:val="1276"/>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val="restart"/>
          </w:tcPr>
          <w:p w:rsidR="00B26B0E" w:rsidRPr="000F0AED" w:rsidRDefault="00B26B0E" w:rsidP="004749AA">
            <w:pPr>
              <w:rPr>
                <w:b/>
                <w:sz w:val="20"/>
                <w:lang w:val="ro-RO"/>
              </w:rPr>
            </w:pPr>
          </w:p>
          <w:p w:rsidR="00B26B0E" w:rsidRPr="000F0AED" w:rsidRDefault="00B26B0E" w:rsidP="004749AA">
            <w:pPr>
              <w:rPr>
                <w:b/>
                <w:sz w:val="20"/>
                <w:lang w:val="ro-RO"/>
              </w:rPr>
            </w:pPr>
            <w:r w:rsidRPr="000F0AED">
              <w:rPr>
                <w:b/>
                <w:sz w:val="20"/>
                <w:lang w:val="ro-RO"/>
              </w:rPr>
              <w:t>1. Sistemul de conducere</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lang w:val="ro-RO"/>
              </w:rPr>
              <w:t xml:space="preserve"> </w:t>
            </w:r>
            <w:r w:rsidRPr="000F0AED">
              <w:rPr>
                <w:sz w:val="20"/>
                <w:lang w:val="ro-RO"/>
              </w:rPr>
              <w:t>Instituţia are un sistem de conducere şi un regulament de funcţionare internă care respectă reglementările legale în vigoare. Mecanismul de alegere a reprezentanţilor studenţilor în consilii, senate şi alte structuri este clar descris în Carta Universitară şi în regulamentele interne.</w:t>
            </w:r>
          </w:p>
        </w:tc>
        <w:tc>
          <w:tcPr>
            <w:tcW w:w="5721" w:type="dxa"/>
            <w:tcBorders>
              <w:right w:val="double" w:sz="4" w:space="0" w:color="auto"/>
            </w:tcBorders>
            <w:vAlign w:val="center"/>
          </w:tcPr>
          <w:p w:rsidR="00B26B0E" w:rsidRPr="000F0AED" w:rsidRDefault="00B26B0E" w:rsidP="001D3D78">
            <w:pPr>
              <w:jc w:val="both"/>
              <w:rPr>
                <w:lang w:val="ro-RO"/>
              </w:rPr>
            </w:pPr>
          </w:p>
        </w:tc>
      </w:tr>
      <w:tr w:rsidR="00B26B0E" w:rsidRPr="00B37129" w:rsidTr="00B26B0E">
        <w:trPr>
          <w:trHeight w:val="700"/>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Default="00B26B0E" w:rsidP="004749AA">
            <w:pPr>
              <w:rPr>
                <w:sz w:val="20"/>
                <w:lang w:val="ro-RO"/>
              </w:rPr>
            </w:pPr>
            <w:r w:rsidRPr="000F0AED">
              <w:rPr>
                <w:b/>
                <w:sz w:val="20"/>
                <w:lang w:val="ro-RO"/>
              </w:rPr>
              <w:t>Ref.1:</w:t>
            </w:r>
            <w:r w:rsidRPr="000F0AED">
              <w:rPr>
                <w:lang w:val="ro-RO"/>
              </w:rPr>
              <w:t xml:space="preserve"> </w:t>
            </w:r>
            <w:r w:rsidRPr="000F0AED">
              <w:rPr>
                <w:sz w:val="20"/>
                <w:lang w:val="ro-RO"/>
              </w:rPr>
              <w:t>Sistemul de conducere şi regulamentul de funcţionare internă utilizează şi sisteme informaţionale şi de comunicare, de tip Internet şi Intranet</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EA0D01" w:rsidRDefault="00B26B0E" w:rsidP="005418C2">
            <w:pPr>
              <w:pStyle w:val="Style12"/>
              <w:widowControl/>
              <w:jc w:val="both"/>
              <w:rPr>
                <w:sz w:val="20"/>
                <w:szCs w:val="20"/>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Default="00B26B0E" w:rsidP="004749AA">
            <w:pPr>
              <w:rPr>
                <w:b/>
                <w:sz w:val="20"/>
                <w:lang w:val="ro-RO"/>
              </w:rPr>
            </w:pPr>
            <w:r w:rsidRPr="000F0AED">
              <w:rPr>
                <w:b/>
                <w:sz w:val="20"/>
                <w:lang w:val="ro-RO"/>
              </w:rPr>
              <w:t>Ref.2: (se poate continua cu indicatori de performanta proprii institutiei, la nivele superioare)</w:t>
            </w:r>
          </w:p>
          <w:p w:rsidR="00B26B0E" w:rsidRPr="000F0AED" w:rsidRDefault="00B26B0E" w:rsidP="004749AA">
            <w:pPr>
              <w:rPr>
                <w:b/>
                <w:sz w:val="20"/>
                <w:lang w:val="ro-RO"/>
              </w:rPr>
            </w:pPr>
          </w:p>
        </w:tc>
        <w:tc>
          <w:tcPr>
            <w:tcW w:w="5721" w:type="dxa"/>
            <w:tcBorders>
              <w:right w:val="double" w:sz="4" w:space="0" w:color="auto"/>
            </w:tcBorders>
          </w:tcPr>
          <w:p w:rsidR="00B26B0E" w:rsidRPr="000F0AED" w:rsidRDefault="00B26B0E" w:rsidP="008F14FE">
            <w:pPr>
              <w:pStyle w:val="Style12"/>
              <w:widowControl/>
              <w:ind w:left="444"/>
              <w:jc w:val="both"/>
              <w:rPr>
                <w:sz w:val="20"/>
                <w:szCs w:val="20"/>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val="restart"/>
          </w:tcPr>
          <w:p w:rsidR="00B26B0E" w:rsidRPr="000F0AED" w:rsidRDefault="00B26B0E" w:rsidP="004749AA">
            <w:pPr>
              <w:rPr>
                <w:b/>
                <w:sz w:val="20"/>
                <w:lang w:val="ro-RO"/>
              </w:rPr>
            </w:pPr>
            <w:r w:rsidRPr="000F0AED">
              <w:rPr>
                <w:b/>
                <w:sz w:val="20"/>
                <w:lang w:val="ro-RO"/>
              </w:rPr>
              <w:t>2. Management strategic</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are un plan strategic cu un orizont de cel puţin patru ani şi planuri operaţionale anuale</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54429F" w:rsidRDefault="00B26B0E" w:rsidP="0054429F">
            <w:pPr>
              <w:rPr>
                <w:lang w:val="fr-FR"/>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sz w:val="20"/>
                <w:lang w:val="ro-RO"/>
              </w:rPr>
            </w:pPr>
            <w:r w:rsidRPr="000F0AED">
              <w:rPr>
                <w:b/>
                <w:sz w:val="20"/>
                <w:lang w:val="ro-RO"/>
              </w:rPr>
              <w:t>Ref.1:</w:t>
            </w:r>
            <w:r w:rsidRPr="000F0AED">
              <w:rPr>
                <w:sz w:val="20"/>
                <w:lang w:val="ro-RO"/>
              </w:rPr>
              <w:t xml:space="preserve"> Planul strategic este elaborat pe termen lung, mediu şi scurt, este actualizat anual sau în funcţie de evoluţia şi contextul învăţământului superior</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0F0AED" w:rsidRDefault="00B26B0E" w:rsidP="00EA0D01">
            <w:pPr>
              <w:jc w:val="both"/>
              <w:rPr>
                <w:lang w:val="ro-RO"/>
              </w:rPr>
            </w:pPr>
          </w:p>
        </w:tc>
      </w:tr>
      <w:tr w:rsidR="00B26B0E" w:rsidRPr="000F0AED" w:rsidTr="00B26B0E">
        <w:trPr>
          <w:trHeight w:val="581"/>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Default="00B26B0E" w:rsidP="00BC4D5C">
            <w:pPr>
              <w:rPr>
                <w:b/>
                <w:sz w:val="20"/>
                <w:lang w:val="ro-RO"/>
              </w:rPr>
            </w:pPr>
            <w:r w:rsidRPr="000F0AED">
              <w:rPr>
                <w:b/>
                <w:sz w:val="20"/>
                <w:lang w:val="ro-RO"/>
              </w:rPr>
              <w:t>Ref.2: (se poate continua cu indicatori de performanta proprii instituției, la nivele superioare)</w:t>
            </w:r>
            <w:r>
              <w:rPr>
                <w:b/>
                <w:sz w:val="20"/>
                <w:lang w:val="ro-RO"/>
              </w:rPr>
              <w:t xml:space="preserve"> </w:t>
            </w:r>
          </w:p>
          <w:p w:rsidR="00B26B0E" w:rsidRPr="000F0AED" w:rsidRDefault="00B26B0E" w:rsidP="00BC4D5C">
            <w:pPr>
              <w:rPr>
                <w:b/>
                <w:sz w:val="20"/>
                <w:lang w:val="ro-RO"/>
              </w:rPr>
            </w:pPr>
            <w:r>
              <w:rPr>
                <w:b/>
                <w:sz w:val="20"/>
                <w:lang w:val="ro-RO"/>
              </w:rPr>
              <w:t xml:space="preserve">Indicatorul inovativității </w:t>
            </w:r>
          </w:p>
        </w:tc>
        <w:tc>
          <w:tcPr>
            <w:tcW w:w="5721" w:type="dxa"/>
            <w:tcBorders>
              <w:right w:val="double" w:sz="4" w:space="0" w:color="auto"/>
            </w:tcBorders>
            <w:vAlign w:val="center"/>
          </w:tcPr>
          <w:p w:rsidR="00B26B0E" w:rsidRPr="00C02907" w:rsidRDefault="00B26B0E" w:rsidP="00C02907">
            <w:pPr>
              <w:jc w:val="both"/>
              <w:rPr>
                <w:color w:val="000000" w:themeColor="text1"/>
                <w:lang w:val="ro-RO"/>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3. Administraţie eficace</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Universitatea dispune de o administraţie care respectă reglementările legale în vigoare, este eficace în privinţa organizării, numărului şi calificării personalului şi funcţionează riguros prin serviciile o</w:t>
            </w:r>
            <w:r>
              <w:rPr>
                <w:sz w:val="20"/>
                <w:lang w:val="ro-RO"/>
              </w:rPr>
              <w:t>ferite comunităţii universitare</w:t>
            </w:r>
          </w:p>
        </w:tc>
        <w:tc>
          <w:tcPr>
            <w:tcW w:w="5721" w:type="dxa"/>
            <w:tcBorders>
              <w:right w:val="double" w:sz="4" w:space="0" w:color="auto"/>
            </w:tcBorders>
          </w:tcPr>
          <w:p w:rsidR="00B26B0E" w:rsidRPr="000F0AED" w:rsidRDefault="00B26B0E" w:rsidP="00EA0D01">
            <w:pPr>
              <w:jc w:val="both"/>
              <w:rPr>
                <w:lang w:val="ro-RO"/>
              </w:rPr>
            </w:pPr>
          </w:p>
        </w:tc>
      </w:tr>
      <w:tr w:rsidR="00B26B0E" w:rsidRPr="00B37129" w:rsidTr="00B26B0E">
        <w:trPr>
          <w:trHeight w:val="756"/>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3D6618">
            <w:pPr>
              <w:jc w:val="both"/>
              <w:rPr>
                <w:sz w:val="20"/>
                <w:lang w:val="ro-RO"/>
              </w:rPr>
            </w:pPr>
            <w:r w:rsidRPr="000F0AED">
              <w:rPr>
                <w:b/>
                <w:sz w:val="20"/>
                <w:lang w:val="ro-RO"/>
              </w:rPr>
              <w:t>Ref.1:</w:t>
            </w:r>
            <w:r w:rsidRPr="000F0AED">
              <w:rPr>
                <w:sz w:val="20"/>
                <w:lang w:val="ro-RO"/>
              </w:rPr>
              <w:t xml:space="preserve"> Universitatea dispune de o administraţie eficace şi riguroasă şi are mecanisme de control şi de dezvoltare continuă a performanţelor administraţiei</w:t>
            </w:r>
          </w:p>
          <w:p w:rsidR="00B26B0E" w:rsidRPr="000F0AED" w:rsidRDefault="00B26B0E" w:rsidP="004749AA">
            <w:pPr>
              <w:rPr>
                <w:sz w:val="20"/>
                <w:lang w:val="ro-RO"/>
              </w:rPr>
            </w:pPr>
          </w:p>
        </w:tc>
        <w:tc>
          <w:tcPr>
            <w:tcW w:w="5721" w:type="dxa"/>
            <w:tcBorders>
              <w:right w:val="double" w:sz="4" w:space="0" w:color="auto"/>
            </w:tcBorders>
          </w:tcPr>
          <w:p w:rsidR="00B26B0E" w:rsidRPr="000F0AED" w:rsidRDefault="00B26B0E" w:rsidP="003D6618">
            <w:pPr>
              <w:tabs>
                <w:tab w:val="left" w:pos="0"/>
              </w:tabs>
              <w:jc w:val="both"/>
              <w:rPr>
                <w:color w:val="FF0000"/>
                <w:lang w:val="ro-RO"/>
              </w:rPr>
            </w:pPr>
          </w:p>
        </w:tc>
      </w:tr>
      <w:tr w:rsidR="00B26B0E" w:rsidRPr="00B37129" w:rsidTr="00B26B0E">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b/>
                <w:sz w:val="20"/>
                <w:lang w:val="ro-RO"/>
              </w:rPr>
            </w:pPr>
          </w:p>
          <w:p w:rsidR="00B26B0E" w:rsidRPr="000F0AED" w:rsidRDefault="00B26B0E" w:rsidP="004749AA">
            <w:pPr>
              <w:rPr>
                <w:sz w:val="20"/>
                <w:lang w:val="ro-RO"/>
              </w:rPr>
            </w:pPr>
            <w:r w:rsidRPr="000F0AED">
              <w:rPr>
                <w:b/>
                <w:sz w:val="20"/>
                <w:lang w:val="ro-RO"/>
              </w:rPr>
              <w:t>Ref.2</w:t>
            </w:r>
            <w:r w:rsidRPr="000F0AED">
              <w:rPr>
                <w:sz w:val="20"/>
                <w:lang w:val="ro-RO"/>
              </w:rPr>
              <w:t>: Nivelul de informatizare al administraţiei să fie compatibil cu cel din spaţiul european al învățământului superior</w:t>
            </w:r>
          </w:p>
          <w:p w:rsidR="00B26B0E" w:rsidRPr="000F0AED" w:rsidRDefault="00B26B0E" w:rsidP="004749AA">
            <w:pPr>
              <w:rPr>
                <w:sz w:val="20"/>
                <w:lang w:val="ro-RO"/>
              </w:rPr>
            </w:pPr>
          </w:p>
        </w:tc>
        <w:tc>
          <w:tcPr>
            <w:tcW w:w="5721" w:type="dxa"/>
            <w:tcBorders>
              <w:right w:val="double" w:sz="4" w:space="0" w:color="auto"/>
            </w:tcBorders>
          </w:tcPr>
          <w:p w:rsidR="00B26B0E" w:rsidRPr="000F0AED" w:rsidRDefault="00B26B0E" w:rsidP="003D6618">
            <w:pPr>
              <w:pStyle w:val="Style12"/>
              <w:widowControl/>
              <w:jc w:val="both"/>
              <w:rPr>
                <w:sz w:val="20"/>
                <w:szCs w:val="20"/>
              </w:rPr>
            </w:pPr>
          </w:p>
        </w:tc>
      </w:tr>
      <w:tr w:rsidR="00B26B0E" w:rsidRPr="00B37129" w:rsidTr="00B26B0E">
        <w:trPr>
          <w:trHeight w:val="669"/>
        </w:trPr>
        <w:tc>
          <w:tcPr>
            <w:tcW w:w="1800" w:type="dxa"/>
            <w:vMerge/>
            <w:tcBorders>
              <w:left w:val="double" w:sz="4" w:space="0" w:color="auto"/>
            </w:tcBorders>
            <w:shd w:val="clear" w:color="auto" w:fill="auto"/>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tcPr>
          <w:p w:rsidR="00B26B0E" w:rsidRPr="000F0AED" w:rsidRDefault="00B26B0E" w:rsidP="00BC4D5C">
            <w:pPr>
              <w:pStyle w:val="Style12"/>
              <w:widowControl/>
              <w:jc w:val="both"/>
              <w:rPr>
                <w:color w:val="FF0000"/>
                <w:sz w:val="20"/>
                <w:szCs w:val="20"/>
              </w:rPr>
            </w:pPr>
          </w:p>
        </w:tc>
      </w:tr>
      <w:tr w:rsidR="00B26B0E" w:rsidRPr="00B37129" w:rsidTr="00B26B0E">
        <w:trPr>
          <w:trHeight w:val="378"/>
        </w:trPr>
        <w:tc>
          <w:tcPr>
            <w:tcW w:w="1800" w:type="dxa"/>
            <w:vMerge w:val="restart"/>
            <w:tcBorders>
              <w:left w:val="double" w:sz="4" w:space="0" w:color="auto"/>
            </w:tcBorders>
            <w:vAlign w:val="center"/>
          </w:tcPr>
          <w:p w:rsidR="00B26B0E" w:rsidRPr="000F0AED" w:rsidRDefault="00B26B0E" w:rsidP="004749AA">
            <w:pPr>
              <w:jc w:val="center"/>
              <w:rPr>
                <w:bCs/>
                <w:i/>
                <w:caps/>
                <w:sz w:val="20"/>
                <w:lang w:val="ro-RO"/>
              </w:rPr>
            </w:pPr>
          </w:p>
          <w:p w:rsidR="00B26B0E" w:rsidRPr="000F0AED" w:rsidRDefault="00B26B0E" w:rsidP="004749AA">
            <w:pPr>
              <w:jc w:val="center"/>
              <w:rPr>
                <w:b/>
                <w:lang w:val="ro-RO"/>
              </w:rPr>
            </w:pPr>
            <w:r w:rsidRPr="000F0AED">
              <w:rPr>
                <w:b/>
                <w:bCs/>
                <w:i/>
                <w:caps/>
                <w:sz w:val="20"/>
                <w:lang w:val="ro-RO"/>
              </w:rPr>
              <w:t>A.2 – baza materială</w:t>
            </w:r>
          </w:p>
        </w:tc>
        <w:tc>
          <w:tcPr>
            <w:tcW w:w="12801" w:type="dxa"/>
            <w:gridSpan w:val="5"/>
            <w:tcBorders>
              <w:right w:val="double" w:sz="4" w:space="0" w:color="auto"/>
            </w:tcBorders>
            <w:vAlign w:val="center"/>
          </w:tcPr>
          <w:p w:rsidR="00B26B0E" w:rsidRPr="000F0AED" w:rsidRDefault="00B26B0E" w:rsidP="006013C8">
            <w:pPr>
              <w:jc w:val="center"/>
              <w:rPr>
                <w:bCs/>
                <w:i/>
                <w:iCs/>
                <w:caps/>
                <w:sz w:val="20"/>
                <w:lang w:val="ro-RO"/>
              </w:rPr>
            </w:pPr>
          </w:p>
          <w:p w:rsidR="00B26B0E" w:rsidRPr="000F0AED" w:rsidRDefault="00B26B0E" w:rsidP="006013C8">
            <w:pPr>
              <w:jc w:val="center"/>
              <w:rPr>
                <w:lang w:val="ro-RO"/>
              </w:rPr>
            </w:pPr>
            <w:r w:rsidRPr="000F0AED">
              <w:rPr>
                <w:bCs/>
                <w:i/>
                <w:iCs/>
                <w:caps/>
                <w:sz w:val="20"/>
                <w:lang w:val="ro-RO"/>
              </w:rPr>
              <w:t>S.A.2.1. Patrimoniu, dotare, resurse financiare alocate</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1. Spaţii de învăţământ, cercetare şi pentru  alte activităţi</w:t>
            </w:r>
          </w:p>
        </w:tc>
        <w:tc>
          <w:tcPr>
            <w:tcW w:w="5640" w:type="dxa"/>
            <w:gridSpan w:val="3"/>
            <w:vAlign w:val="center"/>
          </w:tcPr>
          <w:p w:rsidR="00B26B0E" w:rsidRPr="000F0AED" w:rsidRDefault="00B26B0E" w:rsidP="006013C8">
            <w:pPr>
              <w:rPr>
                <w:sz w:val="20"/>
                <w:lang w:val="ro-RO"/>
              </w:rPr>
            </w:pPr>
            <w:r w:rsidRPr="000F0AED">
              <w:rPr>
                <w:b/>
                <w:sz w:val="20"/>
                <w:lang w:val="ro-RO"/>
              </w:rPr>
              <w:t>Min:</w:t>
            </w:r>
            <w:r w:rsidRPr="000F0AED">
              <w:rPr>
                <w:sz w:val="20"/>
                <w:lang w:val="ro-RO"/>
              </w:rPr>
              <w:t xml:space="preserve"> Respectând diferenţele dintre formele de învăţământ (la zi, cu frecvenţă redusă şi la distanţă) şi, respectiv, obiectivele activităţilor  de cercetare, universitatea asigură spaţii de învăţământ şi cercetare care corespund specificului său, prin săli de predare, laboratoare didactice şi centre de cercetare, în concordanţă cu normele tehnice, de siguranţă şi igienico-sanitare în vigoare. Indicatorul se referă şi la spaţiul de căminizare şi la alte spaţii oferite studenţilor pentru activităţi sociale, culturale sau sportive.</w:t>
            </w:r>
          </w:p>
        </w:tc>
        <w:tc>
          <w:tcPr>
            <w:tcW w:w="5721" w:type="dxa"/>
            <w:tcBorders>
              <w:right w:val="double" w:sz="4" w:space="0" w:color="auto"/>
            </w:tcBorders>
            <w:vAlign w:val="center"/>
          </w:tcPr>
          <w:p w:rsidR="00B26B0E" w:rsidRPr="000C610D" w:rsidRDefault="00B26B0E" w:rsidP="00FA66DF">
            <w:pPr>
              <w:overflowPunct/>
              <w:jc w:val="both"/>
              <w:textAlignment w:val="auto"/>
              <w:rPr>
                <w:rFonts w:ascii="TimesNewRomanPSMT" w:eastAsiaTheme="minorHAnsi" w:hAnsi="TimesNewRomanPSMT" w:cs="TimesNewRomanPSMT"/>
                <w:sz w:val="23"/>
                <w:szCs w:val="23"/>
                <w:lang w:val="ro-RO" w:eastAsia="en-US"/>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sz w:val="20"/>
                <w:lang w:val="ro-RO"/>
              </w:rPr>
            </w:pPr>
            <w:r w:rsidRPr="000F0AED">
              <w:rPr>
                <w:b/>
                <w:sz w:val="20"/>
                <w:lang w:val="ro-RO"/>
              </w:rPr>
              <w:t>Ref.1:</w:t>
            </w:r>
            <w:r w:rsidRPr="000F0AED">
              <w:rPr>
                <w:sz w:val="20"/>
                <w:lang w:val="ro-RO"/>
              </w:rPr>
              <w:t xml:space="preserve"> Pe lângă spaţiile existente, universitatea dispune de planuri de dezvoltare şi de planuri de investiţii realiste, dependente de veniturile previzionate</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286801" w:rsidRDefault="00B26B0E" w:rsidP="00286801">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Default="00B26B0E" w:rsidP="004749AA">
            <w:pPr>
              <w:rPr>
                <w:b/>
                <w:sz w:val="20"/>
                <w:lang w:val="ro-RO"/>
              </w:rPr>
            </w:pPr>
            <w:r w:rsidRPr="000F0AED">
              <w:rPr>
                <w:b/>
                <w:sz w:val="20"/>
                <w:lang w:val="ro-RO"/>
              </w:rPr>
              <w:t>Ref.2: (se poate continua cu indicatori de performanta proprii institutiei, la nivele superioare)</w:t>
            </w:r>
          </w:p>
          <w:p w:rsidR="00B26B0E" w:rsidRPr="000F0AED" w:rsidRDefault="00B26B0E" w:rsidP="004749AA">
            <w:pPr>
              <w:rPr>
                <w:b/>
                <w:sz w:val="20"/>
                <w:lang w:val="ro-RO"/>
              </w:rPr>
            </w:pPr>
            <w:r>
              <w:rPr>
                <w:b/>
                <w:sz w:val="20"/>
                <w:lang w:val="ro-RO"/>
              </w:rPr>
              <w:t xml:space="preserve">Rată de modernizare a bazei materiale destinate procesului de educație și cercetare științifică </w:t>
            </w:r>
          </w:p>
          <w:p w:rsidR="00B26B0E" w:rsidRPr="000F0AED" w:rsidRDefault="00B26B0E" w:rsidP="004749AA">
            <w:pPr>
              <w:rPr>
                <w:b/>
                <w:sz w:val="20"/>
                <w:lang w:val="ro-RO"/>
              </w:rPr>
            </w:pPr>
          </w:p>
        </w:tc>
        <w:tc>
          <w:tcPr>
            <w:tcW w:w="5721" w:type="dxa"/>
            <w:tcBorders>
              <w:right w:val="double" w:sz="4" w:space="0" w:color="auto"/>
            </w:tcBorders>
          </w:tcPr>
          <w:p w:rsidR="00B26B0E" w:rsidRPr="005937BF" w:rsidRDefault="00B26B0E" w:rsidP="005937BF">
            <w:pPr>
              <w:jc w:val="both"/>
              <w:rPr>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2. Dotare</w:t>
            </w:r>
          </w:p>
        </w:tc>
        <w:tc>
          <w:tcPr>
            <w:tcW w:w="5640" w:type="dxa"/>
            <w:gridSpan w:val="3"/>
          </w:tcPr>
          <w:p w:rsidR="00B26B0E" w:rsidRPr="000F0AED" w:rsidRDefault="00B26B0E" w:rsidP="004749AA">
            <w:pPr>
              <w:jc w:val="both"/>
              <w:rPr>
                <w:sz w:val="20"/>
                <w:lang w:val="ro-RO"/>
              </w:rPr>
            </w:pPr>
            <w:r w:rsidRPr="000F0AED">
              <w:rPr>
                <w:b/>
                <w:sz w:val="20"/>
                <w:lang w:val="ro-RO"/>
              </w:rPr>
              <w:t>Min:</w:t>
            </w:r>
            <w:r w:rsidRPr="000F0AED">
              <w:rPr>
                <w:sz w:val="20"/>
                <w:lang w:val="ro-RO"/>
              </w:rPr>
              <w:t xml:space="preserve"> Sălile de predare/seminarizare dispun de echipamente tehnice de învăţare, predare şi comunicare care facilitează activitatea cadrului didactic şi receptivitatea fiecărui student; laboratoarele de cercetare dispun de echipamente şi mijloace de funcţionare corespunzătoare exigenţelor minime.</w:t>
            </w:r>
          </w:p>
          <w:p w:rsidR="00B26B0E" w:rsidRPr="000F0AED" w:rsidRDefault="00B26B0E" w:rsidP="004749AA">
            <w:pPr>
              <w:jc w:val="both"/>
              <w:rPr>
                <w:sz w:val="20"/>
                <w:lang w:val="ro-RO"/>
              </w:rPr>
            </w:pPr>
          </w:p>
        </w:tc>
        <w:tc>
          <w:tcPr>
            <w:tcW w:w="5721" w:type="dxa"/>
            <w:tcBorders>
              <w:right w:val="double" w:sz="4" w:space="0" w:color="auto"/>
            </w:tcBorders>
            <w:vAlign w:val="center"/>
          </w:tcPr>
          <w:p w:rsidR="00B26B0E" w:rsidRPr="000F0AED" w:rsidRDefault="00B26B0E" w:rsidP="005C50A2">
            <w:pPr>
              <w:overflowPunct/>
              <w:jc w:val="both"/>
              <w:textAlignment w:val="auto"/>
              <w:rPr>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sz w:val="20"/>
                <w:lang w:val="ro-RO"/>
              </w:rPr>
            </w:pPr>
            <w:r w:rsidRPr="000F0AED">
              <w:rPr>
                <w:b/>
                <w:sz w:val="20"/>
                <w:lang w:val="ro-RO"/>
              </w:rPr>
              <w:t>Ref.1:</w:t>
            </w:r>
            <w:r w:rsidRPr="000F0AED">
              <w:rPr>
                <w:sz w:val="20"/>
                <w:lang w:val="ro-RO"/>
              </w:rPr>
              <w:t xml:space="preserve"> Dotarea sălilor de curs/seminar şi a laboratoarelor didactice şi de cercetare corespunde stadiului actual de dezvoltare a cunoaşterii ştiinţifice şi este comparabilă cu cea din universităţile </w:t>
            </w:r>
            <w:r w:rsidRPr="000F0AED">
              <w:rPr>
                <w:sz w:val="20"/>
                <w:lang w:val="ro-RO"/>
              </w:rPr>
              <w:lastRenderedPageBreak/>
              <w:t>dezvoltate din Europa şi cu bunele practici internaţionale.</w:t>
            </w:r>
          </w:p>
        </w:tc>
        <w:tc>
          <w:tcPr>
            <w:tcW w:w="5721" w:type="dxa"/>
            <w:tcBorders>
              <w:right w:val="double" w:sz="4" w:space="0" w:color="auto"/>
            </w:tcBorders>
            <w:vAlign w:val="center"/>
          </w:tcPr>
          <w:p w:rsidR="00B26B0E" w:rsidRPr="000F0AED" w:rsidRDefault="00B26B0E" w:rsidP="00792C41">
            <w:pPr>
              <w:pStyle w:val="Style12"/>
              <w:widowControl/>
              <w:rPr>
                <w:sz w:val="20"/>
                <w:szCs w:val="20"/>
              </w:rPr>
            </w:pPr>
          </w:p>
        </w:tc>
      </w:tr>
      <w:tr w:rsidR="00B26B0E" w:rsidRPr="000C610D"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rPr>
                <w:b/>
                <w:sz w:val="20"/>
                <w:lang w:val="ro-RO"/>
              </w:rPr>
            </w:pPr>
          </w:p>
          <w:p w:rsidR="00B26B0E" w:rsidRDefault="00B26B0E" w:rsidP="004749AA">
            <w:pPr>
              <w:rPr>
                <w:b/>
                <w:sz w:val="20"/>
                <w:lang w:val="ro-RO"/>
              </w:rPr>
            </w:pPr>
            <w:r w:rsidRPr="000F0AED">
              <w:rPr>
                <w:b/>
                <w:sz w:val="20"/>
                <w:lang w:val="ro-RO"/>
              </w:rPr>
              <w:t>Ref.2: (se poate continua cu indicatori de performanta proprii institutiei, la nivele superioare)</w:t>
            </w:r>
          </w:p>
          <w:p w:rsidR="00B26B0E" w:rsidRPr="000F0AED" w:rsidRDefault="00B26B0E" w:rsidP="004749AA">
            <w:pPr>
              <w:rPr>
                <w:b/>
                <w:sz w:val="20"/>
                <w:lang w:val="ro-RO"/>
              </w:rPr>
            </w:pPr>
            <w:r>
              <w:rPr>
                <w:b/>
                <w:sz w:val="20"/>
                <w:lang w:val="ro-RO"/>
              </w:rPr>
              <w:t xml:space="preserve">Intensivitatea tehnologică specifică procesului educațional </w:t>
            </w:r>
          </w:p>
          <w:p w:rsidR="00B26B0E" w:rsidRPr="000F0AED" w:rsidRDefault="00B26B0E" w:rsidP="004749AA">
            <w:pPr>
              <w:rPr>
                <w:b/>
                <w:sz w:val="20"/>
                <w:lang w:val="ro-RO"/>
              </w:rPr>
            </w:pPr>
          </w:p>
        </w:tc>
        <w:tc>
          <w:tcPr>
            <w:tcW w:w="5721" w:type="dxa"/>
            <w:tcBorders>
              <w:right w:val="double" w:sz="4" w:space="0" w:color="auto"/>
            </w:tcBorders>
            <w:vAlign w:val="center"/>
          </w:tcPr>
          <w:p w:rsidR="00B26B0E" w:rsidRPr="005C50A2" w:rsidRDefault="00B26B0E" w:rsidP="005C50A2">
            <w:pPr>
              <w:pStyle w:val="Style12"/>
              <w:widowControl/>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val="restart"/>
            <w:vAlign w:val="center"/>
          </w:tcPr>
          <w:p w:rsidR="00B26B0E" w:rsidRPr="000F0AED" w:rsidRDefault="00B26B0E" w:rsidP="004749AA">
            <w:pPr>
              <w:rPr>
                <w:b/>
                <w:sz w:val="20"/>
                <w:lang w:val="ro-RO"/>
              </w:rPr>
            </w:pPr>
            <w:r w:rsidRPr="000F0AED">
              <w:rPr>
                <w:b/>
                <w:sz w:val="20"/>
                <w:lang w:val="ro-RO"/>
              </w:rPr>
              <w:t>3. Resurse financiare</w:t>
            </w:r>
          </w:p>
        </w:tc>
        <w:tc>
          <w:tcPr>
            <w:tcW w:w="5640" w:type="dxa"/>
            <w:gridSpan w:val="3"/>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demonstrează că</w:t>
            </w:r>
            <w:r w:rsidRPr="000F0AED">
              <w:rPr>
                <w:lang w:val="ro-RO"/>
              </w:rPr>
              <w:t xml:space="preserve"> </w:t>
            </w:r>
            <w:r w:rsidRPr="000F0AED">
              <w:rPr>
                <w:sz w:val="20"/>
                <w:lang w:val="ro-RO"/>
              </w:rPr>
              <w:t>dispune de surse de finanţare şi de resurse financiare suficiente, pe termen scurt (anual) şi în perspectivă (pentru minimum trei/patru ani succesivi), pe care le alocă pentru a realiza în mod adecvat misiunea şi obiectivele pe care şi le-a fixat. Instituţia dispune de un buget anual realist şi de un buget pe trei/patru ani, precum şi de politici financiare pe termen scurt şi mediu, cu referire la sustenabilitatea financiară.</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0F0AED" w:rsidRDefault="00B26B0E" w:rsidP="00A61B62">
            <w:pPr>
              <w:overflowPunct/>
              <w:ind w:firstLine="462"/>
              <w:jc w:val="both"/>
              <w:textAlignment w:val="auto"/>
              <w:rPr>
                <w:b/>
                <w:bCs/>
                <w:i/>
                <w:iCs/>
                <w:color w:val="000000"/>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tcPr>
          <w:p w:rsidR="00B26B0E" w:rsidRPr="000F0AED" w:rsidRDefault="00B26B0E" w:rsidP="004749AA">
            <w:pPr>
              <w:jc w:val="both"/>
              <w:rPr>
                <w:sz w:val="20"/>
                <w:lang w:val="ro-RO"/>
              </w:rPr>
            </w:pPr>
            <w:r w:rsidRPr="000F0AED">
              <w:rPr>
                <w:b/>
                <w:sz w:val="20"/>
                <w:lang w:val="ro-RO"/>
              </w:rPr>
              <w:t>Ref.1:</w:t>
            </w:r>
            <w:r w:rsidRPr="000F0AED">
              <w:rPr>
                <w:sz w:val="20"/>
                <w:lang w:val="ro-RO"/>
              </w:rPr>
              <w:t xml:space="preserve"> Pe lângă asigurarea necesarului curent, universitatea dispune de rezerve financiare consistente, de surse diversificate de finanţare şi de rigoare în planificarea şi definirea politicilor de investiţii şi de gestiune financiară</w:t>
            </w:r>
          </w:p>
          <w:p w:rsidR="00B26B0E" w:rsidRPr="000F0AED" w:rsidRDefault="00B26B0E" w:rsidP="004749AA">
            <w:pPr>
              <w:jc w:val="both"/>
              <w:rPr>
                <w:sz w:val="20"/>
                <w:lang w:val="ro-RO"/>
              </w:rPr>
            </w:pPr>
          </w:p>
        </w:tc>
        <w:tc>
          <w:tcPr>
            <w:tcW w:w="5721" w:type="dxa"/>
            <w:tcBorders>
              <w:right w:val="double" w:sz="4" w:space="0" w:color="auto"/>
            </w:tcBorders>
            <w:vAlign w:val="center"/>
          </w:tcPr>
          <w:p w:rsidR="00B26B0E" w:rsidRPr="000F0AED" w:rsidRDefault="00B26B0E" w:rsidP="00F15F3E">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sz w:val="20"/>
                <w:lang w:val="ro-RO"/>
              </w:rPr>
            </w:pPr>
          </w:p>
        </w:tc>
        <w:tc>
          <w:tcPr>
            <w:tcW w:w="5640" w:type="dxa"/>
            <w:gridSpan w:val="3"/>
            <w:vAlign w:val="center"/>
          </w:tcPr>
          <w:p w:rsidR="00B26B0E" w:rsidRPr="000F0AED" w:rsidRDefault="00B26B0E" w:rsidP="00867CF9">
            <w:pPr>
              <w:jc w:val="both"/>
              <w:rPr>
                <w:b/>
                <w:sz w:val="20"/>
                <w:lang w:val="ro-RO"/>
              </w:rPr>
            </w:pPr>
            <w:r w:rsidRPr="000F0AED">
              <w:rPr>
                <w:b/>
                <w:sz w:val="20"/>
                <w:lang w:val="ro-RO"/>
              </w:rPr>
              <w:t>Ref.2: (se poate continua cu indicatori de performanta proprii instituției, la nivele superioare)</w:t>
            </w:r>
          </w:p>
        </w:tc>
        <w:tc>
          <w:tcPr>
            <w:tcW w:w="5721" w:type="dxa"/>
            <w:tcBorders>
              <w:right w:val="double" w:sz="4" w:space="0" w:color="auto"/>
            </w:tcBorders>
          </w:tcPr>
          <w:p w:rsidR="00B26B0E" w:rsidRPr="000F0AED" w:rsidRDefault="00B26B0E" w:rsidP="004749AA">
            <w:pPr>
              <w:rPr>
                <w:lang w:val="ro-RO"/>
              </w:rPr>
            </w:pPr>
          </w:p>
        </w:tc>
      </w:tr>
      <w:tr w:rsidR="00B26B0E" w:rsidRPr="00B37129" w:rsidTr="00B26B0E">
        <w:trPr>
          <w:trHeight w:val="898"/>
        </w:trPr>
        <w:tc>
          <w:tcPr>
            <w:tcW w:w="1800" w:type="dxa"/>
            <w:vMerge/>
            <w:tcBorders>
              <w:left w:val="double" w:sz="4" w:space="0" w:color="auto"/>
            </w:tcBorders>
          </w:tcPr>
          <w:p w:rsidR="00B26B0E" w:rsidRPr="000F0AED" w:rsidRDefault="00B26B0E" w:rsidP="004749AA">
            <w:pPr>
              <w:rPr>
                <w:lang w:val="ro-RO"/>
              </w:rPr>
            </w:pPr>
          </w:p>
        </w:tc>
        <w:tc>
          <w:tcPr>
            <w:tcW w:w="1440" w:type="dxa"/>
            <w:vMerge w:val="restart"/>
          </w:tcPr>
          <w:p w:rsidR="00B26B0E" w:rsidRPr="000F0AED" w:rsidRDefault="00B26B0E" w:rsidP="004749AA">
            <w:pPr>
              <w:rPr>
                <w:b/>
                <w:iCs/>
                <w:sz w:val="20"/>
                <w:lang w:val="ro-RO"/>
              </w:rPr>
            </w:pPr>
            <w:r w:rsidRPr="000F0AED">
              <w:rPr>
                <w:b/>
                <w:iCs/>
                <w:sz w:val="20"/>
                <w:lang w:val="ro-RO"/>
              </w:rPr>
              <w:t>4. Sistemul de acordare a burselor şi altor forme de sprijin material pentru studenţi</w:t>
            </w: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iCs/>
                <w:sz w:val="20"/>
                <w:lang w:val="ro-RO"/>
              </w:rPr>
            </w:pPr>
          </w:p>
          <w:p w:rsidR="00B26B0E" w:rsidRPr="000F0AED" w:rsidRDefault="00B26B0E" w:rsidP="004749AA">
            <w:pPr>
              <w:rPr>
                <w:b/>
                <w:sz w:val="20"/>
                <w:lang w:val="ro-RO"/>
              </w:rPr>
            </w:pPr>
          </w:p>
        </w:tc>
        <w:tc>
          <w:tcPr>
            <w:tcW w:w="5640" w:type="dxa"/>
            <w:gridSpan w:val="3"/>
            <w:tcBorders>
              <w:bottom w:val="single" w:sz="4" w:space="0" w:color="auto"/>
            </w:tcBorders>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are un Regulament de acordare a burselor şi a altor forme de sprijin material pentru studenţi, pe care îl aplică în mod consecvent. Bursele sunt acordate din alocaţii de la bugetul de stat şi din resurse proprii.</w:t>
            </w:r>
          </w:p>
        </w:tc>
        <w:tc>
          <w:tcPr>
            <w:tcW w:w="5721" w:type="dxa"/>
            <w:tcBorders>
              <w:bottom w:val="single" w:sz="4" w:space="0" w:color="auto"/>
              <w:right w:val="double" w:sz="4" w:space="0" w:color="auto"/>
            </w:tcBorders>
            <w:vAlign w:val="center"/>
          </w:tcPr>
          <w:p w:rsidR="00B26B0E" w:rsidRPr="00A61B62" w:rsidRDefault="00B26B0E" w:rsidP="00AE2FF8">
            <w:pPr>
              <w:overflowPunct/>
              <w:ind w:firstLine="552"/>
              <w:jc w:val="both"/>
              <w:textAlignment w:val="auto"/>
              <w:rPr>
                <w:rFonts w:ascii="TimesNewRomanPSMT" w:eastAsiaTheme="minorHAnsi" w:hAnsi="TimesNewRomanPSMT" w:cs="TimesNewRomanPSMT"/>
                <w:sz w:val="20"/>
                <w:lang w:val="ro-RO" w:eastAsia="en-US"/>
              </w:rPr>
            </w:pPr>
          </w:p>
        </w:tc>
      </w:tr>
      <w:tr w:rsidR="00B26B0E" w:rsidRPr="00B37129" w:rsidTr="00B26B0E">
        <w:trPr>
          <w:trHeight w:val="576"/>
        </w:trPr>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iCs/>
                <w:sz w:val="20"/>
                <w:lang w:val="ro-RO"/>
              </w:rPr>
            </w:pPr>
          </w:p>
        </w:tc>
        <w:tc>
          <w:tcPr>
            <w:tcW w:w="5640" w:type="dxa"/>
            <w:gridSpan w:val="3"/>
            <w:tcBorders>
              <w:top w:val="single" w:sz="4" w:space="0" w:color="auto"/>
              <w:bottom w:val="single" w:sz="4" w:space="0" w:color="auto"/>
            </w:tcBorders>
          </w:tcPr>
          <w:p w:rsidR="00B26B0E" w:rsidRPr="000F0AED" w:rsidRDefault="00B26B0E" w:rsidP="004749AA">
            <w:pPr>
              <w:rPr>
                <w:sz w:val="20"/>
                <w:lang w:val="ro-RO"/>
              </w:rPr>
            </w:pPr>
            <w:r w:rsidRPr="000F0AED">
              <w:rPr>
                <w:b/>
                <w:sz w:val="20"/>
                <w:lang w:val="ro-RO"/>
              </w:rPr>
              <w:t>Ref.1:</w:t>
            </w:r>
            <w:r w:rsidRPr="000F0AED">
              <w:rPr>
                <w:sz w:val="20"/>
                <w:lang w:val="ro-RO"/>
              </w:rPr>
              <w:t xml:space="preserve"> Proporţia resurselor proprii ale instituţiei în fondul de burse este de minim 10%.</w:t>
            </w:r>
          </w:p>
        </w:tc>
        <w:tc>
          <w:tcPr>
            <w:tcW w:w="5721" w:type="dxa"/>
            <w:tcBorders>
              <w:top w:val="single" w:sz="4" w:space="0" w:color="auto"/>
              <w:bottom w:val="single" w:sz="4" w:space="0" w:color="auto"/>
              <w:right w:val="double" w:sz="4" w:space="0" w:color="auto"/>
            </w:tcBorders>
            <w:vAlign w:val="center"/>
          </w:tcPr>
          <w:p w:rsidR="00B26B0E" w:rsidRPr="000C610D" w:rsidRDefault="00B26B0E" w:rsidP="00AE2FF8">
            <w:pPr>
              <w:overflowPunct/>
              <w:ind w:firstLine="462"/>
              <w:jc w:val="both"/>
              <w:textAlignment w:val="auto"/>
              <w:rPr>
                <w:rFonts w:ascii="TimesNewRomanPSMT" w:eastAsiaTheme="minorHAnsi" w:hAnsi="TimesNewRomanPSMT" w:cs="TimesNewRomanPSMT"/>
                <w:sz w:val="23"/>
                <w:szCs w:val="23"/>
                <w:lang w:val="ro-RO" w:eastAsia="en-US"/>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1440" w:type="dxa"/>
            <w:vMerge/>
          </w:tcPr>
          <w:p w:rsidR="00B26B0E" w:rsidRPr="000F0AED" w:rsidRDefault="00B26B0E" w:rsidP="004749AA">
            <w:pPr>
              <w:rPr>
                <w:b/>
                <w:iCs/>
                <w:sz w:val="20"/>
                <w:lang w:val="ro-RO"/>
              </w:rPr>
            </w:pPr>
          </w:p>
        </w:tc>
        <w:tc>
          <w:tcPr>
            <w:tcW w:w="5640" w:type="dxa"/>
            <w:gridSpan w:val="3"/>
            <w:tcBorders>
              <w:top w:val="single" w:sz="4" w:space="0" w:color="auto"/>
              <w:bottom w:val="single" w:sz="4" w:space="0" w:color="auto"/>
            </w:tcBorders>
          </w:tcPr>
          <w:p w:rsidR="00B26B0E" w:rsidRPr="000F0AED" w:rsidRDefault="00B26B0E" w:rsidP="004749AA">
            <w:pPr>
              <w:rPr>
                <w:sz w:val="20"/>
                <w:lang w:val="ro-RO"/>
              </w:rPr>
            </w:pPr>
            <w:r w:rsidRPr="000F0AED">
              <w:rPr>
                <w:b/>
                <w:sz w:val="20"/>
                <w:lang w:val="ro-RO"/>
              </w:rPr>
              <w:t>Ref.2:</w:t>
            </w:r>
            <w:r w:rsidRPr="000F0AED">
              <w:rPr>
                <w:sz w:val="20"/>
                <w:lang w:val="ro-RO"/>
              </w:rPr>
              <w:t xml:space="preserve"> Proporţia resurselor proprii ale instituţiei în fondul de burse este de minim 20%.</w:t>
            </w:r>
          </w:p>
        </w:tc>
        <w:tc>
          <w:tcPr>
            <w:tcW w:w="5721" w:type="dxa"/>
            <w:tcBorders>
              <w:top w:val="single" w:sz="4" w:space="0" w:color="auto"/>
              <w:bottom w:val="single" w:sz="4" w:space="0" w:color="auto"/>
              <w:right w:val="double" w:sz="4" w:space="0" w:color="auto"/>
            </w:tcBorders>
            <w:vAlign w:val="center"/>
          </w:tcPr>
          <w:p w:rsidR="00B26B0E" w:rsidRPr="000F0AED" w:rsidRDefault="00B26B0E" w:rsidP="000225DA">
            <w:pPr>
              <w:pStyle w:val="Style12"/>
              <w:widowControl/>
              <w:rPr>
                <w:sz w:val="20"/>
                <w:szCs w:val="20"/>
              </w:rPr>
            </w:pPr>
          </w:p>
        </w:tc>
      </w:tr>
      <w:tr w:rsidR="00B26B0E" w:rsidRPr="00B37129" w:rsidTr="00B26B0E">
        <w:trPr>
          <w:trHeight w:hRule="exact" w:val="851"/>
        </w:trPr>
        <w:tc>
          <w:tcPr>
            <w:tcW w:w="1800" w:type="dxa"/>
            <w:vMerge/>
            <w:tcBorders>
              <w:left w:val="double" w:sz="4" w:space="0" w:color="auto"/>
              <w:bottom w:val="single" w:sz="4" w:space="0" w:color="auto"/>
            </w:tcBorders>
          </w:tcPr>
          <w:p w:rsidR="00B26B0E" w:rsidRPr="000F0AED" w:rsidRDefault="00B26B0E" w:rsidP="004749AA">
            <w:pPr>
              <w:rPr>
                <w:lang w:val="ro-RO"/>
              </w:rPr>
            </w:pPr>
          </w:p>
        </w:tc>
        <w:tc>
          <w:tcPr>
            <w:tcW w:w="1440" w:type="dxa"/>
            <w:vMerge/>
            <w:tcBorders>
              <w:bottom w:val="single" w:sz="4" w:space="0" w:color="auto"/>
            </w:tcBorders>
          </w:tcPr>
          <w:p w:rsidR="00B26B0E" w:rsidRPr="000F0AED" w:rsidRDefault="00B26B0E" w:rsidP="004749AA">
            <w:pPr>
              <w:rPr>
                <w:b/>
                <w:iCs/>
                <w:sz w:val="20"/>
                <w:lang w:val="ro-RO"/>
              </w:rPr>
            </w:pPr>
          </w:p>
        </w:tc>
        <w:tc>
          <w:tcPr>
            <w:tcW w:w="5640" w:type="dxa"/>
            <w:gridSpan w:val="3"/>
            <w:tcBorders>
              <w:top w:val="single" w:sz="4" w:space="0" w:color="auto"/>
              <w:bottom w:val="single" w:sz="4" w:space="0" w:color="auto"/>
            </w:tcBorders>
          </w:tcPr>
          <w:p w:rsidR="00B26B0E" w:rsidRPr="000F0AED" w:rsidRDefault="00B26B0E" w:rsidP="00A12280">
            <w:pPr>
              <w:rPr>
                <w:b/>
                <w:sz w:val="20"/>
                <w:lang w:val="ro-RO"/>
              </w:rPr>
            </w:pPr>
            <w:r w:rsidRPr="000F0AED">
              <w:rPr>
                <w:b/>
                <w:sz w:val="20"/>
                <w:lang w:val="ro-RO"/>
              </w:rPr>
              <w:t>Ref.3: (se poate continua cu indicatori de performanta proprii instituției, la nivele superioare)</w:t>
            </w:r>
            <w:r>
              <w:rPr>
                <w:b/>
                <w:sz w:val="20"/>
                <w:lang w:val="ro-RO"/>
              </w:rPr>
              <w:t xml:space="preserve">: </w:t>
            </w:r>
          </w:p>
        </w:tc>
        <w:tc>
          <w:tcPr>
            <w:tcW w:w="5721" w:type="dxa"/>
            <w:tcBorders>
              <w:top w:val="single" w:sz="4" w:space="0" w:color="auto"/>
              <w:bottom w:val="single" w:sz="4" w:space="0" w:color="auto"/>
              <w:right w:val="double" w:sz="4" w:space="0" w:color="auto"/>
            </w:tcBorders>
            <w:vAlign w:val="center"/>
          </w:tcPr>
          <w:p w:rsidR="00B26B0E" w:rsidRPr="0070266E" w:rsidRDefault="00B26B0E" w:rsidP="00C2084E">
            <w:pPr>
              <w:pStyle w:val="Style12"/>
              <w:widowControl/>
              <w:rPr>
                <w:sz w:val="20"/>
                <w:szCs w:val="20"/>
              </w:rPr>
            </w:pPr>
          </w:p>
        </w:tc>
      </w:tr>
      <w:tr w:rsidR="00B26B0E" w:rsidRPr="000F0AED" w:rsidTr="00B26B0E">
        <w:tc>
          <w:tcPr>
            <w:tcW w:w="14601" w:type="dxa"/>
            <w:gridSpan w:val="6"/>
            <w:tcBorders>
              <w:top w:val="single" w:sz="4" w:space="0" w:color="auto"/>
              <w:left w:val="double" w:sz="4" w:space="0" w:color="auto"/>
              <w:bottom w:val="double" w:sz="4" w:space="0" w:color="auto"/>
              <w:right w:val="double" w:sz="4" w:space="0" w:color="auto"/>
            </w:tcBorders>
            <w:shd w:val="clear" w:color="auto" w:fill="B3B3B3"/>
          </w:tcPr>
          <w:p w:rsidR="00B26B0E" w:rsidRPr="000F0AED" w:rsidRDefault="00B26B0E" w:rsidP="004749AA">
            <w:pPr>
              <w:pStyle w:val="Heading6"/>
              <w:ind w:left="855"/>
              <w:jc w:val="center"/>
              <w:rPr>
                <w:sz w:val="28"/>
                <w:szCs w:val="28"/>
                <w:lang w:val="ro-RO"/>
              </w:rPr>
            </w:pPr>
            <w:r w:rsidRPr="000F0AED">
              <w:rPr>
                <w:bCs w:val="0"/>
                <w:sz w:val="28"/>
                <w:szCs w:val="28"/>
                <w:lang w:val="ro-RO"/>
              </w:rPr>
              <w:t>Domeniul B.  EFICACITATE EDUCAŢIONALĂ</w:t>
            </w:r>
          </w:p>
        </w:tc>
      </w:tr>
      <w:tr w:rsidR="00B26B0E" w:rsidRPr="000F0AED" w:rsidTr="00B26B0E">
        <w:trPr>
          <w:trHeight w:val="571"/>
        </w:trPr>
        <w:tc>
          <w:tcPr>
            <w:tcW w:w="1800" w:type="dxa"/>
            <w:vMerge w:val="restart"/>
            <w:tcBorders>
              <w:top w:val="double" w:sz="4" w:space="0" w:color="auto"/>
              <w:left w:val="double" w:sz="4" w:space="0" w:color="auto"/>
            </w:tcBorders>
            <w:vAlign w:val="center"/>
          </w:tcPr>
          <w:p w:rsidR="00B26B0E" w:rsidRPr="000F0AED" w:rsidRDefault="00B26B0E" w:rsidP="004749AA">
            <w:pPr>
              <w:rPr>
                <w:b/>
                <w:i/>
                <w:caps/>
                <w:sz w:val="20"/>
                <w:lang w:val="ro-RO"/>
              </w:rPr>
            </w:pPr>
            <w:r w:rsidRPr="000F0AED">
              <w:rPr>
                <w:b/>
                <w:i/>
                <w:caps/>
                <w:sz w:val="20"/>
                <w:lang w:val="ro-RO"/>
              </w:rPr>
              <w:t xml:space="preserve">B.1 – CONŢINUTUL </w:t>
            </w:r>
            <w:r w:rsidRPr="000F0AED">
              <w:rPr>
                <w:b/>
                <w:i/>
                <w:caps/>
                <w:sz w:val="20"/>
                <w:lang w:val="ro-RO"/>
              </w:rPr>
              <w:lastRenderedPageBreak/>
              <w:t>PROGRAMELOR DE STUDIU</w:t>
            </w:r>
          </w:p>
        </w:tc>
        <w:tc>
          <w:tcPr>
            <w:tcW w:w="12801" w:type="dxa"/>
            <w:gridSpan w:val="5"/>
            <w:tcBorders>
              <w:top w:val="double" w:sz="4" w:space="0" w:color="auto"/>
              <w:right w:val="double" w:sz="4" w:space="0" w:color="auto"/>
            </w:tcBorders>
            <w:vAlign w:val="center"/>
          </w:tcPr>
          <w:p w:rsidR="00B26B0E" w:rsidRPr="000F0AED" w:rsidRDefault="00B26B0E" w:rsidP="004749AA">
            <w:pPr>
              <w:jc w:val="center"/>
              <w:rPr>
                <w:lang w:val="ro-RO"/>
              </w:rPr>
            </w:pPr>
            <w:r w:rsidRPr="000F0AED">
              <w:rPr>
                <w:i/>
                <w:caps/>
                <w:sz w:val="20"/>
                <w:lang w:val="ro-RO"/>
              </w:rPr>
              <w:lastRenderedPageBreak/>
              <w:t>S.B.1.1. Admiterea studenţilor</w:t>
            </w:r>
          </w:p>
        </w:tc>
      </w:tr>
      <w:tr w:rsidR="00B26B0E" w:rsidRPr="00B37129" w:rsidTr="00B26B0E">
        <w:trPr>
          <w:trHeight w:val="927"/>
        </w:trPr>
        <w:tc>
          <w:tcPr>
            <w:tcW w:w="1800" w:type="dxa"/>
            <w:vMerge/>
            <w:tcBorders>
              <w:left w:val="double" w:sz="4" w:space="0" w:color="auto"/>
            </w:tcBorders>
          </w:tcPr>
          <w:p w:rsidR="00B26B0E" w:rsidRPr="000F0AED" w:rsidRDefault="00B26B0E" w:rsidP="004749AA">
            <w:pPr>
              <w:rPr>
                <w:lang w:val="ro-RO"/>
              </w:rPr>
            </w:pPr>
          </w:p>
        </w:tc>
        <w:tc>
          <w:tcPr>
            <w:tcW w:w="2400" w:type="dxa"/>
            <w:gridSpan w:val="2"/>
            <w:vAlign w:val="center"/>
          </w:tcPr>
          <w:p w:rsidR="00B26B0E" w:rsidRPr="000F0AED" w:rsidRDefault="00B26B0E" w:rsidP="004749AA">
            <w:pPr>
              <w:rPr>
                <w:b/>
                <w:lang w:val="ro-RO"/>
              </w:rPr>
            </w:pPr>
            <w:r w:rsidRPr="000F0AED">
              <w:rPr>
                <w:b/>
                <w:sz w:val="20"/>
                <w:lang w:val="ro-RO"/>
              </w:rPr>
              <w:t>1. Principii ale politicii de admitere la programele de studiu oferite de instituţie</w:t>
            </w:r>
          </w:p>
        </w:tc>
        <w:tc>
          <w:tcPr>
            <w:tcW w:w="4680" w:type="dxa"/>
            <w:gridSpan w:val="2"/>
          </w:tcPr>
          <w:p w:rsidR="00B26B0E" w:rsidRPr="000F0AED" w:rsidRDefault="00B26B0E" w:rsidP="004749AA">
            <w:pPr>
              <w:rPr>
                <w:sz w:val="20"/>
                <w:lang w:val="ro-RO"/>
              </w:rPr>
            </w:pPr>
            <w:r w:rsidRPr="000F0AED">
              <w:rPr>
                <w:b/>
                <w:sz w:val="20"/>
                <w:lang w:val="ro-RO"/>
              </w:rPr>
              <w:t>Min:</w:t>
            </w:r>
            <w:r w:rsidRPr="000F0AED">
              <w:rPr>
                <w:sz w:val="20"/>
                <w:lang w:val="ro-RO"/>
              </w:rPr>
              <w:t xml:space="preserve"> Instituţia aplică o politică transparentă a recrutării şi admiterii studenţilor, anunţată public cu cel puţin 6 luni înainte de aplicare</w:t>
            </w:r>
          </w:p>
        </w:tc>
        <w:tc>
          <w:tcPr>
            <w:tcW w:w="5721" w:type="dxa"/>
            <w:tcBorders>
              <w:right w:val="double" w:sz="4" w:space="0" w:color="auto"/>
            </w:tcBorders>
            <w:vAlign w:val="center"/>
          </w:tcPr>
          <w:p w:rsidR="00B26B0E" w:rsidRPr="000F0AED" w:rsidRDefault="00B26B0E" w:rsidP="00AE2FF8">
            <w:pPr>
              <w:pStyle w:val="Style12"/>
              <w:widowControl/>
              <w:ind w:firstLine="462"/>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2. Practici de admitere</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 xml:space="preserve"> Admiterea într-un ciclu de studii  universitare se face numai pe baza diplomei de studii precedente, ţinând cont de ordinea ierarhică a mediilor de absolvire</w:t>
            </w:r>
          </w:p>
        </w:tc>
        <w:tc>
          <w:tcPr>
            <w:tcW w:w="5721" w:type="dxa"/>
            <w:tcBorders>
              <w:right w:val="double" w:sz="4" w:space="0" w:color="auto"/>
            </w:tcBorders>
            <w:vAlign w:val="center"/>
          </w:tcPr>
          <w:p w:rsidR="00B26B0E" w:rsidRPr="000F0AED" w:rsidRDefault="00B26B0E" w:rsidP="00446D98">
            <w:pPr>
              <w:pStyle w:val="Style12"/>
              <w:widowControl/>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Ref.1:</w:t>
            </w:r>
            <w:r w:rsidRPr="000F0AED">
              <w:rPr>
                <w:sz w:val="20"/>
                <w:lang w:val="ro-RO"/>
              </w:rPr>
              <w:t xml:space="preserve"> Admiterea la studii se bazează pe un set de criterii combinate, în care rezultatele la examenul de admitere deţin o pondere mai mare</w:t>
            </w:r>
          </w:p>
        </w:tc>
        <w:tc>
          <w:tcPr>
            <w:tcW w:w="5721" w:type="dxa"/>
            <w:tcBorders>
              <w:right w:val="double" w:sz="4" w:space="0" w:color="auto"/>
            </w:tcBorders>
            <w:vAlign w:val="center"/>
          </w:tcPr>
          <w:p w:rsidR="00B26B0E" w:rsidRPr="000F0AED" w:rsidRDefault="00B26B0E" w:rsidP="00AE2FF8">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rPr>
                <w:b/>
                <w:sz w:val="20"/>
                <w:lang w:val="ro-RO"/>
              </w:rPr>
            </w:pPr>
            <w:r>
              <w:rPr>
                <w:b/>
                <w:sz w:val="20"/>
                <w:lang w:val="ro-RO"/>
              </w:rPr>
              <w:t>Ref.2: Admiterea în Universitate se face pe bază de examen.</w:t>
            </w:r>
          </w:p>
        </w:tc>
        <w:tc>
          <w:tcPr>
            <w:tcW w:w="5721" w:type="dxa"/>
            <w:tcBorders>
              <w:right w:val="double" w:sz="4" w:space="0" w:color="auto"/>
            </w:tcBorders>
            <w:vAlign w:val="center"/>
          </w:tcPr>
          <w:p w:rsidR="00B26B0E" w:rsidRPr="00B26B0E" w:rsidRDefault="00B26B0E" w:rsidP="005E2A72">
            <w:pPr>
              <w:overflowPunct/>
              <w:jc w:val="both"/>
              <w:textAlignment w:val="auto"/>
              <w:rPr>
                <w:sz w:val="20"/>
                <w:lang w:val="fr-FR"/>
              </w:rPr>
            </w:pPr>
          </w:p>
        </w:tc>
      </w:tr>
      <w:tr w:rsidR="00B26B0E" w:rsidRPr="000F0AED" w:rsidTr="00B26B0E">
        <w:trPr>
          <w:trHeight w:val="448"/>
        </w:trPr>
        <w:tc>
          <w:tcPr>
            <w:tcW w:w="1800" w:type="dxa"/>
            <w:vMerge w:val="restart"/>
            <w:tcBorders>
              <w:left w:val="double" w:sz="4" w:space="0" w:color="auto"/>
            </w:tcBorders>
            <w:vAlign w:val="center"/>
          </w:tcPr>
          <w:p w:rsidR="00B26B0E" w:rsidRPr="000F0AED" w:rsidRDefault="00B26B0E" w:rsidP="004749AA">
            <w:pPr>
              <w:jc w:val="both"/>
              <w:rPr>
                <w:b/>
                <w:bCs/>
                <w:lang w:val="ro-RO"/>
              </w:rPr>
            </w:pPr>
            <w:r w:rsidRPr="000F0AED">
              <w:rPr>
                <w:b/>
                <w:i/>
                <w:lang w:val="ro-RO"/>
              </w:rPr>
              <w:t>B.2</w:t>
            </w:r>
            <w:r w:rsidRPr="000F0AED">
              <w:rPr>
                <w:b/>
                <w:lang w:val="ro-RO"/>
              </w:rPr>
              <w:t xml:space="preserve"> - </w:t>
            </w:r>
            <w:r w:rsidRPr="000F0AED">
              <w:rPr>
                <w:b/>
                <w:bCs/>
                <w:i/>
                <w:caps/>
                <w:sz w:val="20"/>
                <w:lang w:val="ro-RO"/>
              </w:rPr>
              <w:t>Rezultatele învăţării</w:t>
            </w:r>
          </w:p>
          <w:p w:rsidR="00B26B0E" w:rsidRPr="000F0AED" w:rsidRDefault="00B26B0E" w:rsidP="004749AA">
            <w:pPr>
              <w:jc w:val="center"/>
              <w:rPr>
                <w:lang w:val="ro-RO"/>
              </w:rPr>
            </w:pPr>
          </w:p>
        </w:tc>
        <w:tc>
          <w:tcPr>
            <w:tcW w:w="12801" w:type="dxa"/>
            <w:gridSpan w:val="5"/>
            <w:tcBorders>
              <w:right w:val="double" w:sz="4" w:space="0" w:color="auto"/>
            </w:tcBorders>
            <w:vAlign w:val="center"/>
          </w:tcPr>
          <w:p w:rsidR="00B26B0E" w:rsidRPr="000F0AED" w:rsidRDefault="00B26B0E" w:rsidP="00446D98">
            <w:pPr>
              <w:jc w:val="center"/>
              <w:rPr>
                <w:bCs/>
                <w:i/>
                <w:iCs/>
                <w:caps/>
                <w:sz w:val="20"/>
                <w:lang w:val="ro-RO"/>
              </w:rPr>
            </w:pPr>
            <w:r w:rsidRPr="000F0AED">
              <w:rPr>
                <w:bCs/>
                <w:i/>
                <w:iCs/>
                <w:sz w:val="20"/>
                <w:lang w:val="ro-RO"/>
              </w:rPr>
              <w:t xml:space="preserve">S.B.2.1 – </w:t>
            </w:r>
            <w:r w:rsidRPr="000F0AED">
              <w:rPr>
                <w:bCs/>
                <w:i/>
                <w:iCs/>
                <w:caps/>
                <w:sz w:val="20"/>
                <w:lang w:val="ro-RO"/>
              </w:rPr>
              <w:t>Valorificarea calificării universitare obţinute</w:t>
            </w:r>
          </w:p>
        </w:tc>
      </w:tr>
      <w:tr w:rsidR="00B26B0E" w:rsidRPr="00B37129" w:rsidTr="00B26B0E">
        <w:tc>
          <w:tcPr>
            <w:tcW w:w="1800" w:type="dxa"/>
            <w:vMerge/>
            <w:tcBorders>
              <w:left w:val="double" w:sz="4" w:space="0" w:color="auto"/>
            </w:tcBorders>
          </w:tcPr>
          <w:p w:rsidR="00B26B0E" w:rsidRPr="000F0AED" w:rsidRDefault="00B26B0E" w:rsidP="004749AA">
            <w:pPr>
              <w:jc w:val="both"/>
              <w:rPr>
                <w:b/>
                <w:i/>
                <w:lang w:val="ro-RO"/>
              </w:rPr>
            </w:pPr>
          </w:p>
        </w:tc>
        <w:tc>
          <w:tcPr>
            <w:tcW w:w="2400" w:type="dxa"/>
            <w:gridSpan w:val="2"/>
            <w:vMerge w:val="restart"/>
          </w:tcPr>
          <w:p w:rsidR="00B26B0E" w:rsidRPr="000F0AED" w:rsidRDefault="00B26B0E" w:rsidP="004749AA">
            <w:pPr>
              <w:rPr>
                <w:b/>
                <w:sz w:val="20"/>
                <w:lang w:val="ro-RO"/>
              </w:rPr>
            </w:pPr>
            <w:r w:rsidRPr="000F0AED">
              <w:rPr>
                <w:b/>
                <w:iCs/>
                <w:sz w:val="20"/>
                <w:lang w:val="ro-RO"/>
              </w:rPr>
              <w:t>1. Valorificarea prin capacitatea de a se angaja pe piaţa muncii</w:t>
            </w:r>
          </w:p>
        </w:tc>
        <w:tc>
          <w:tcPr>
            <w:tcW w:w="4680" w:type="dxa"/>
            <w:gridSpan w:val="2"/>
            <w:vAlign w:val="center"/>
          </w:tcPr>
          <w:p w:rsidR="00B26B0E" w:rsidRPr="000F0AED" w:rsidRDefault="00B26B0E" w:rsidP="00446D98">
            <w:pPr>
              <w:rPr>
                <w:b/>
                <w:sz w:val="20"/>
                <w:lang w:val="ro-RO"/>
              </w:rPr>
            </w:pPr>
            <w:r w:rsidRPr="000F0AED">
              <w:rPr>
                <w:b/>
                <w:sz w:val="20"/>
                <w:lang w:val="ro-RO"/>
              </w:rPr>
              <w:t>Min:</w:t>
            </w:r>
            <w:r w:rsidRPr="000F0AED">
              <w:rPr>
                <w:b/>
                <w:bCs/>
                <w:sz w:val="20"/>
                <w:lang w:val="ro-RO"/>
              </w:rPr>
              <w:t xml:space="preserve"> </w:t>
            </w:r>
            <w:r w:rsidRPr="000F0AED">
              <w:rPr>
                <w:b/>
                <w:bCs/>
                <w:sz w:val="20"/>
                <w:lang w:val="ro-RO"/>
              </w:rPr>
              <w:tab/>
            </w:r>
            <w:r w:rsidRPr="000F0AED">
              <w:rPr>
                <w:sz w:val="20"/>
                <w:lang w:val="ro-RO"/>
              </w:rPr>
              <w:t>Cel puţin 50% dintre absolvenţi sunt angajaţi în termen de doi ani de la data absolvirii la nivelul calificării universitare.</w:t>
            </w:r>
          </w:p>
        </w:tc>
        <w:tc>
          <w:tcPr>
            <w:tcW w:w="5721" w:type="dxa"/>
            <w:tcBorders>
              <w:right w:val="double" w:sz="4" w:space="0" w:color="auto"/>
            </w:tcBorders>
          </w:tcPr>
          <w:p w:rsidR="00B26B0E" w:rsidRPr="000F0AED" w:rsidRDefault="00B26B0E" w:rsidP="004749AA">
            <w:pPr>
              <w:rPr>
                <w:highlight w:val="yellow"/>
                <w:lang w:val="ro-RO"/>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highlight w:val="yellow"/>
                <w:lang w:val="ro-RO"/>
              </w:rPr>
            </w:pPr>
          </w:p>
        </w:tc>
        <w:tc>
          <w:tcPr>
            <w:tcW w:w="2400" w:type="dxa"/>
            <w:gridSpan w:val="2"/>
            <w:vMerge/>
          </w:tcPr>
          <w:p w:rsidR="00B26B0E" w:rsidRPr="000F0AED" w:rsidRDefault="00B26B0E" w:rsidP="004749AA">
            <w:pPr>
              <w:rPr>
                <w:i/>
                <w:iCs/>
                <w:highlight w:val="yellow"/>
                <w:lang w:val="ro-RO"/>
              </w:rPr>
            </w:pPr>
          </w:p>
        </w:tc>
        <w:tc>
          <w:tcPr>
            <w:tcW w:w="4680" w:type="dxa"/>
            <w:gridSpan w:val="2"/>
            <w:vAlign w:val="center"/>
          </w:tcPr>
          <w:p w:rsidR="00B26B0E" w:rsidRPr="000F0AED" w:rsidRDefault="00B26B0E" w:rsidP="00446D98">
            <w:pPr>
              <w:rPr>
                <w:b/>
                <w:sz w:val="20"/>
                <w:lang w:val="ro-RO"/>
              </w:rPr>
            </w:pPr>
            <w:r w:rsidRPr="000F0AED">
              <w:rPr>
                <w:b/>
                <w:sz w:val="20"/>
                <w:lang w:val="ro-RO"/>
              </w:rPr>
              <w:t>Ref.1:</w:t>
            </w:r>
            <w:r w:rsidRPr="000F0AED">
              <w:rPr>
                <w:sz w:val="20"/>
                <w:lang w:val="ro-RO"/>
              </w:rPr>
              <w:tab/>
              <w:t>Mai mult de 70% din absolvenţi sunt angajaţi în termen de doi ani de la data absolvirii la nivelul calificării universitare.</w:t>
            </w:r>
          </w:p>
        </w:tc>
        <w:tc>
          <w:tcPr>
            <w:tcW w:w="5721" w:type="dxa"/>
            <w:tcBorders>
              <w:right w:val="double" w:sz="4" w:space="0" w:color="auto"/>
            </w:tcBorders>
            <w:vAlign w:val="center"/>
          </w:tcPr>
          <w:p w:rsidR="00B26B0E" w:rsidRPr="000F0AED" w:rsidRDefault="00B26B0E" w:rsidP="008031FD">
            <w:pPr>
              <w:pStyle w:val="Style12"/>
              <w:widowControl/>
              <w:ind w:firstLine="462"/>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highlight w:val="yellow"/>
                <w:lang w:val="ro-RO"/>
              </w:rPr>
            </w:pPr>
          </w:p>
        </w:tc>
        <w:tc>
          <w:tcPr>
            <w:tcW w:w="2400" w:type="dxa"/>
            <w:gridSpan w:val="2"/>
            <w:vMerge w:val="restart"/>
          </w:tcPr>
          <w:p w:rsidR="00B26B0E" w:rsidRPr="000F0AED" w:rsidRDefault="00B26B0E" w:rsidP="004749AA">
            <w:pPr>
              <w:tabs>
                <w:tab w:val="left" w:pos="132"/>
                <w:tab w:val="left" w:pos="252"/>
                <w:tab w:val="left" w:pos="932"/>
              </w:tabs>
              <w:rPr>
                <w:b/>
                <w:iCs/>
                <w:sz w:val="20"/>
                <w:lang w:val="ro-RO"/>
              </w:rPr>
            </w:pPr>
            <w:r w:rsidRPr="000F0AED">
              <w:rPr>
                <w:b/>
                <w:iCs/>
                <w:sz w:val="20"/>
                <w:lang w:val="ro-RO"/>
              </w:rPr>
              <w:t>2.Valorificarea calificării prin</w:t>
            </w:r>
            <w:r w:rsidRPr="000F0AED">
              <w:rPr>
                <w:b/>
                <w:bCs/>
                <w:sz w:val="20"/>
                <w:lang w:val="ro-RO"/>
              </w:rPr>
              <w:t xml:space="preserve"> </w:t>
            </w:r>
            <w:r w:rsidRPr="000F0AED">
              <w:rPr>
                <w:b/>
                <w:iCs/>
                <w:sz w:val="20"/>
                <w:lang w:val="ro-RO"/>
              </w:rPr>
              <w:t>continuarea studiilor universitare</w:t>
            </w:r>
          </w:p>
          <w:p w:rsidR="00B26B0E" w:rsidRPr="000F0AED" w:rsidRDefault="00B26B0E" w:rsidP="004749AA">
            <w:pPr>
              <w:rPr>
                <w:i/>
                <w:iCs/>
                <w:lang w:val="ro-RO"/>
              </w:rPr>
            </w:pPr>
          </w:p>
        </w:tc>
        <w:tc>
          <w:tcPr>
            <w:tcW w:w="4680" w:type="dxa"/>
            <w:gridSpan w:val="2"/>
          </w:tcPr>
          <w:p w:rsidR="00B26B0E" w:rsidRPr="000F0AED" w:rsidRDefault="00B26B0E" w:rsidP="004749AA">
            <w:pPr>
              <w:rPr>
                <w:b/>
                <w:sz w:val="20"/>
                <w:lang w:val="ro-RO"/>
              </w:rPr>
            </w:pPr>
            <w:r w:rsidRPr="000F0AED">
              <w:rPr>
                <w:b/>
                <w:sz w:val="20"/>
                <w:lang w:val="ro-RO"/>
              </w:rPr>
              <w:t>Min.</w:t>
            </w:r>
            <w:r w:rsidRPr="000F0AED">
              <w:rPr>
                <w:sz w:val="20"/>
                <w:lang w:val="ro-RO"/>
              </w:rPr>
              <w:t xml:space="preserve"> Cel puţin 20%* dintre absolvenţii ultimelor două promoţii ale studiilor universitare de licenţă sunt admişi la studii universitare de masterat, indiferent de domeniu*</w:t>
            </w:r>
          </w:p>
        </w:tc>
        <w:tc>
          <w:tcPr>
            <w:tcW w:w="5721" w:type="dxa"/>
            <w:tcBorders>
              <w:right w:val="double" w:sz="4" w:space="0" w:color="auto"/>
            </w:tcBorders>
            <w:vAlign w:val="center"/>
          </w:tcPr>
          <w:p w:rsidR="00B26B0E" w:rsidRPr="000F0AED" w:rsidRDefault="00B26B0E" w:rsidP="003F21D1">
            <w:pPr>
              <w:pStyle w:val="Style12"/>
              <w:widowControl/>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highlight w:val="yellow"/>
                <w:lang w:val="ro-RO"/>
              </w:rPr>
            </w:pPr>
          </w:p>
        </w:tc>
        <w:tc>
          <w:tcPr>
            <w:tcW w:w="2400" w:type="dxa"/>
            <w:gridSpan w:val="2"/>
            <w:vMerge/>
          </w:tcPr>
          <w:p w:rsidR="00B26B0E" w:rsidRPr="000F0AED" w:rsidRDefault="00B26B0E" w:rsidP="004749AA">
            <w:pPr>
              <w:rPr>
                <w:i/>
                <w:iCs/>
                <w:lang w:val="ro-RO"/>
              </w:rPr>
            </w:pPr>
          </w:p>
        </w:tc>
        <w:tc>
          <w:tcPr>
            <w:tcW w:w="4680" w:type="dxa"/>
            <w:gridSpan w:val="2"/>
          </w:tcPr>
          <w:p w:rsidR="00B26B0E" w:rsidRPr="000F0AED" w:rsidRDefault="00B26B0E" w:rsidP="004749AA">
            <w:pPr>
              <w:rPr>
                <w:b/>
                <w:sz w:val="20"/>
                <w:lang w:val="ro-RO"/>
              </w:rPr>
            </w:pPr>
            <w:r w:rsidRPr="000F0AED">
              <w:rPr>
                <w:b/>
                <w:sz w:val="20"/>
                <w:lang w:val="ro-RO"/>
              </w:rPr>
              <w:t xml:space="preserve">Ref.1: </w:t>
            </w:r>
            <w:r w:rsidRPr="000F0AED">
              <w:rPr>
                <w:sz w:val="20"/>
                <w:lang w:val="ro-RO"/>
              </w:rPr>
              <w:t>Cel puţin 50% dintre absolvenţii ultimelor două promoţii sunt admişi la studii universitare de masterat, indiferent de domeniu**</w:t>
            </w:r>
          </w:p>
        </w:tc>
        <w:tc>
          <w:tcPr>
            <w:tcW w:w="5721" w:type="dxa"/>
            <w:tcBorders>
              <w:right w:val="double" w:sz="4" w:space="0" w:color="auto"/>
            </w:tcBorders>
            <w:vAlign w:val="center"/>
          </w:tcPr>
          <w:p w:rsidR="00B26B0E" w:rsidRPr="000F0AED" w:rsidRDefault="00B26B0E" w:rsidP="008031FD">
            <w:pPr>
              <w:ind w:firstLine="552"/>
              <w:rPr>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highlight w:val="yellow"/>
                <w:lang w:val="ro-RO"/>
              </w:rPr>
            </w:pPr>
          </w:p>
        </w:tc>
        <w:tc>
          <w:tcPr>
            <w:tcW w:w="2400" w:type="dxa"/>
            <w:gridSpan w:val="2"/>
            <w:vMerge w:val="restart"/>
          </w:tcPr>
          <w:p w:rsidR="00B26B0E" w:rsidRPr="000F0AED" w:rsidRDefault="00B26B0E" w:rsidP="004749AA">
            <w:pPr>
              <w:rPr>
                <w:i/>
                <w:iCs/>
                <w:sz w:val="20"/>
                <w:lang w:val="ro-RO"/>
              </w:rPr>
            </w:pPr>
            <w:r w:rsidRPr="000F0AED">
              <w:rPr>
                <w:b/>
                <w:sz w:val="20"/>
                <w:lang w:val="ro-RO"/>
              </w:rPr>
              <w:t>3. Nivelul de satisfacţie al studenţilor în raport cu dezvoltarea  profesională şi personală  asigurată de universitate.</w:t>
            </w:r>
            <w:r w:rsidRPr="000F0AED">
              <w:rPr>
                <w:b/>
                <w:sz w:val="20"/>
                <w:u w:val="single"/>
                <w:lang w:val="ro-RO"/>
              </w:rPr>
              <w:t xml:space="preserve"> </w:t>
            </w:r>
          </w:p>
        </w:tc>
        <w:tc>
          <w:tcPr>
            <w:tcW w:w="4680" w:type="dxa"/>
            <w:gridSpan w:val="2"/>
          </w:tcPr>
          <w:p w:rsidR="00B26B0E" w:rsidRPr="000F0AED" w:rsidRDefault="00B26B0E" w:rsidP="004749AA">
            <w:pPr>
              <w:rPr>
                <w:sz w:val="20"/>
                <w:lang w:val="ro-RO"/>
              </w:rPr>
            </w:pPr>
            <w:r w:rsidRPr="000F0AED">
              <w:rPr>
                <w:b/>
                <w:sz w:val="20"/>
                <w:lang w:val="ro-RO"/>
              </w:rPr>
              <w:t>Min:</w:t>
            </w:r>
            <w:r w:rsidRPr="000F0AED">
              <w:rPr>
                <w:sz w:val="20"/>
                <w:lang w:val="ro-RO"/>
              </w:rPr>
              <w:t xml:space="preserve"> Mai mult de 50% dintre studenţi apreciază pozitiv mediul de învăţare/dezvoltare oferit de către universitate şi propriul lor traseu de învăţare</w:t>
            </w:r>
          </w:p>
          <w:p w:rsidR="00B26B0E" w:rsidRPr="000F0AED" w:rsidRDefault="00B26B0E" w:rsidP="004749AA">
            <w:pPr>
              <w:rPr>
                <w:b/>
                <w:sz w:val="20"/>
                <w:lang w:val="ro-RO"/>
              </w:rPr>
            </w:pPr>
          </w:p>
        </w:tc>
        <w:tc>
          <w:tcPr>
            <w:tcW w:w="5721" w:type="dxa"/>
            <w:tcBorders>
              <w:right w:val="double" w:sz="4" w:space="0" w:color="auto"/>
            </w:tcBorders>
          </w:tcPr>
          <w:p w:rsidR="00B26B0E" w:rsidRPr="000F0AED" w:rsidRDefault="00B26B0E" w:rsidP="008031FD">
            <w:pPr>
              <w:pStyle w:val="Style12"/>
              <w:ind w:firstLine="462"/>
              <w:jc w:val="both"/>
              <w:rPr>
                <w:sz w:val="20"/>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lang w:val="ro-RO"/>
              </w:rPr>
            </w:pPr>
          </w:p>
        </w:tc>
        <w:tc>
          <w:tcPr>
            <w:tcW w:w="2400" w:type="dxa"/>
            <w:gridSpan w:val="2"/>
            <w:vMerge/>
          </w:tcPr>
          <w:p w:rsidR="00B26B0E" w:rsidRPr="000F0AED" w:rsidRDefault="00B26B0E" w:rsidP="004749AA">
            <w:pPr>
              <w:rPr>
                <w:b/>
                <w:sz w:val="20"/>
                <w:lang w:val="ro-RO"/>
              </w:rPr>
            </w:pPr>
          </w:p>
        </w:tc>
        <w:tc>
          <w:tcPr>
            <w:tcW w:w="4680" w:type="dxa"/>
            <w:gridSpan w:val="2"/>
            <w:vAlign w:val="center"/>
          </w:tcPr>
          <w:p w:rsidR="00B26B0E" w:rsidRPr="000F0AED" w:rsidRDefault="00B26B0E" w:rsidP="004749AA">
            <w:pPr>
              <w:rPr>
                <w:b/>
                <w:sz w:val="20"/>
                <w:lang w:val="ro-RO"/>
              </w:rPr>
            </w:pPr>
          </w:p>
          <w:p w:rsidR="00B26B0E" w:rsidRPr="000F0AED" w:rsidRDefault="00B26B0E" w:rsidP="004749AA">
            <w:pPr>
              <w:rPr>
                <w:sz w:val="20"/>
                <w:lang w:val="ro-RO"/>
              </w:rPr>
            </w:pPr>
            <w:r w:rsidRPr="000F0AED">
              <w:rPr>
                <w:b/>
                <w:sz w:val="20"/>
                <w:lang w:val="ro-RO"/>
              </w:rPr>
              <w:t>Ref 1:</w:t>
            </w:r>
            <w:r w:rsidRPr="000F0AED">
              <w:rPr>
                <w:sz w:val="20"/>
                <w:lang w:val="ro-RO"/>
              </w:rPr>
              <w:t xml:space="preserve"> Mai mult de 75% dintre studenţi apreciază pozitiv mediul de învăţare/dezvoltare oferit de către universitate şi propriul lor traseu de învăţare.</w:t>
            </w:r>
          </w:p>
        </w:tc>
        <w:tc>
          <w:tcPr>
            <w:tcW w:w="5721" w:type="dxa"/>
            <w:tcBorders>
              <w:right w:val="double" w:sz="4" w:space="0" w:color="auto"/>
            </w:tcBorders>
          </w:tcPr>
          <w:p w:rsidR="00B26B0E" w:rsidRPr="000F0AED" w:rsidRDefault="00B26B0E" w:rsidP="008031FD">
            <w:pPr>
              <w:ind w:firstLine="462"/>
              <w:jc w:val="both"/>
              <w:rPr>
                <w:sz w:val="20"/>
                <w:lang w:val="ro-RO"/>
              </w:rPr>
            </w:pPr>
          </w:p>
        </w:tc>
      </w:tr>
      <w:tr w:rsidR="00B26B0E" w:rsidRPr="00B37129" w:rsidTr="00B26B0E">
        <w:tc>
          <w:tcPr>
            <w:tcW w:w="1800" w:type="dxa"/>
            <w:vMerge w:val="restart"/>
            <w:tcBorders>
              <w:top w:val="single" w:sz="24" w:space="0" w:color="FFFFFF" w:themeColor="background1"/>
              <w:left w:val="double" w:sz="4" w:space="0" w:color="auto"/>
            </w:tcBorders>
          </w:tcPr>
          <w:p w:rsidR="00B26B0E" w:rsidRPr="000F0AED" w:rsidRDefault="00B26B0E" w:rsidP="004749AA">
            <w:pPr>
              <w:jc w:val="both"/>
              <w:rPr>
                <w:b/>
                <w:i/>
                <w:lang w:val="ro-RO"/>
              </w:rPr>
            </w:pPr>
          </w:p>
        </w:tc>
        <w:tc>
          <w:tcPr>
            <w:tcW w:w="2400" w:type="dxa"/>
            <w:gridSpan w:val="2"/>
            <w:vMerge w:val="restart"/>
            <w:vAlign w:val="center"/>
          </w:tcPr>
          <w:p w:rsidR="00B26B0E" w:rsidRPr="000F0AED" w:rsidRDefault="00B26B0E" w:rsidP="004749AA">
            <w:pPr>
              <w:rPr>
                <w:b/>
                <w:sz w:val="20"/>
                <w:highlight w:val="yellow"/>
                <w:lang w:val="ro-RO"/>
              </w:rPr>
            </w:pPr>
            <w:r w:rsidRPr="000F0AED">
              <w:rPr>
                <w:b/>
                <w:sz w:val="20"/>
                <w:lang w:val="ro-RO"/>
              </w:rPr>
              <w:t>4. Centrarea pe student a metodelor de învăţare</w:t>
            </w:r>
          </w:p>
        </w:tc>
        <w:tc>
          <w:tcPr>
            <w:tcW w:w="4680" w:type="dxa"/>
            <w:gridSpan w:val="2"/>
          </w:tcPr>
          <w:p w:rsidR="00B26B0E" w:rsidRPr="000F0AED" w:rsidRDefault="00B26B0E" w:rsidP="008031FD">
            <w:pPr>
              <w:jc w:val="both"/>
              <w:rPr>
                <w:sz w:val="20"/>
                <w:lang w:val="ro-RO"/>
              </w:rPr>
            </w:pPr>
            <w:r w:rsidRPr="000F0AED">
              <w:rPr>
                <w:b/>
                <w:sz w:val="20"/>
                <w:lang w:val="ro-RO"/>
              </w:rPr>
              <w:t>Min:</w:t>
            </w:r>
            <w:r w:rsidRPr="000F0AED">
              <w:rPr>
                <w:sz w:val="20"/>
                <w:lang w:val="ro-RO"/>
              </w:rPr>
              <w:t xml:space="preserve"> Principala responsabilitate a cadrului didactic este proiectarea metodelor şi a mediilor de învăţare centrate pe student, cu mai puţin accent asupra </w:t>
            </w:r>
            <w:r w:rsidRPr="000F0AED">
              <w:rPr>
                <w:sz w:val="20"/>
                <w:lang w:val="ro-RO"/>
              </w:rPr>
              <w:lastRenderedPageBreak/>
              <w:t xml:space="preserve">responsabilităţii tradiţionale de a transmite doar informaţii. Relaţia dintre student şi profesor este una de parteneriat, în care fiecare îşi asuma responsabilitatea atingerii rezultatelor învăţării. Rezultatele învăţării sunt explicate si discutate cu studenţii din perspectiva relevanţei acestora pentru dezvoltarea lor.  Cadrele didactice folosesc resursele noilor tehnologii (ex. e-mail, pagina personală de web pentru tematică, bibliografie, resurse în format electronic şi dialog cu studenţii), şi materiale auxiliare, de la tablă la </w:t>
            </w:r>
            <w:r w:rsidRPr="000F0AED">
              <w:rPr>
                <w:i/>
                <w:sz w:val="20"/>
                <w:lang w:val="ro-RO"/>
              </w:rPr>
              <w:t>flipchart</w:t>
            </w:r>
            <w:r w:rsidRPr="000F0AED">
              <w:rPr>
                <w:sz w:val="20"/>
                <w:lang w:val="ro-RO"/>
              </w:rPr>
              <w:t xml:space="preserve"> şi videoproiector. </w:t>
            </w:r>
          </w:p>
        </w:tc>
        <w:tc>
          <w:tcPr>
            <w:tcW w:w="5721" w:type="dxa"/>
            <w:tcBorders>
              <w:right w:val="double" w:sz="4" w:space="0" w:color="auto"/>
            </w:tcBorders>
            <w:vAlign w:val="center"/>
          </w:tcPr>
          <w:p w:rsidR="00B26B0E" w:rsidRPr="00DF6677" w:rsidRDefault="00B26B0E" w:rsidP="00DF6677">
            <w:pPr>
              <w:jc w:val="both"/>
              <w:rPr>
                <w:color w:val="000000"/>
                <w:sz w:val="20"/>
                <w:lang w:val="ro-RO"/>
              </w:rPr>
            </w:pPr>
          </w:p>
        </w:tc>
      </w:tr>
      <w:tr w:rsidR="00B26B0E" w:rsidRPr="000C610D" w:rsidTr="00B26B0E">
        <w:tc>
          <w:tcPr>
            <w:tcW w:w="1800" w:type="dxa"/>
            <w:vMerge/>
            <w:tcBorders>
              <w:left w:val="double" w:sz="4" w:space="0" w:color="auto"/>
            </w:tcBorders>
          </w:tcPr>
          <w:p w:rsidR="00B26B0E" w:rsidRPr="000F0AED" w:rsidRDefault="00B26B0E" w:rsidP="004749AA">
            <w:pPr>
              <w:jc w:val="both"/>
              <w:rPr>
                <w:b/>
                <w:i/>
                <w:lang w:val="ro-RO"/>
              </w:rPr>
            </w:pPr>
          </w:p>
        </w:tc>
        <w:tc>
          <w:tcPr>
            <w:tcW w:w="2400" w:type="dxa"/>
            <w:gridSpan w:val="2"/>
            <w:vMerge/>
          </w:tcPr>
          <w:p w:rsidR="00B26B0E" w:rsidRPr="000F0AED" w:rsidRDefault="00B26B0E" w:rsidP="004749AA">
            <w:pPr>
              <w:rPr>
                <w:b/>
                <w:sz w:val="20"/>
                <w:highlight w:val="yellow"/>
                <w:lang w:val="ro-RO"/>
              </w:rPr>
            </w:pPr>
          </w:p>
        </w:tc>
        <w:tc>
          <w:tcPr>
            <w:tcW w:w="4680" w:type="dxa"/>
            <w:gridSpan w:val="2"/>
          </w:tcPr>
          <w:p w:rsidR="00B26B0E" w:rsidRPr="000F0AED" w:rsidRDefault="00B26B0E" w:rsidP="006D0DF7">
            <w:pPr>
              <w:jc w:val="both"/>
              <w:rPr>
                <w:sz w:val="20"/>
                <w:lang w:val="ro-RO"/>
              </w:rPr>
            </w:pPr>
            <w:r w:rsidRPr="000F0AED">
              <w:rPr>
                <w:b/>
                <w:sz w:val="20"/>
                <w:lang w:val="ro-RO"/>
              </w:rPr>
              <w:t>Ref 1:</w:t>
            </w:r>
            <w:r w:rsidRPr="000F0AED">
              <w:rPr>
                <w:sz w:val="20"/>
                <w:lang w:val="ro-RO"/>
              </w:rPr>
              <w:t xml:space="preserve"> Cadrele didactice sunt pregătite special în domeniul predării la nivel universitar şi/sau se reunesc în grupuri de dezbatere pentru a discuta metodologia predării. Acestea au, pe lângă competenţele de instruire/predare, si competenţe de consiliere, monitorizare si facilitare a proceselor de învăţare. In universitate se desfăşoară o activitate continua de identificare, dezvoltare, testare, implementare si evaluare a unor tehnici noi de învăţare eficace, incluzând aici noile aplicaţii ale calculatoarelor si ale tehnologiei informaţiei. Programele de studii sunt integrate cu stagii de practică, plasament şi internship şi cu implicarea studenţilor in proiecte de cercetare. Cadrele didactice asociază studenţii la activitatea de predare (prin întrebări din sală, scurte prezentări, experimente demonstrative) şi procesul de predare este orientat după ritmul şi modul de învăţare al studenţilor. Strategia de predare are în vedere şi nevoile studenţilor cu dizabilităţi</w:t>
            </w:r>
          </w:p>
        </w:tc>
        <w:tc>
          <w:tcPr>
            <w:tcW w:w="5721" w:type="dxa"/>
            <w:tcBorders>
              <w:right w:val="double" w:sz="4" w:space="0" w:color="auto"/>
            </w:tcBorders>
            <w:vAlign w:val="center"/>
          </w:tcPr>
          <w:p w:rsidR="00B26B0E" w:rsidRPr="000F0AED" w:rsidRDefault="00B26B0E" w:rsidP="00DF6677">
            <w:pPr>
              <w:jc w:val="both"/>
              <w:rPr>
                <w:lang w:val="ro-RO"/>
              </w:rPr>
            </w:pPr>
          </w:p>
        </w:tc>
      </w:tr>
      <w:tr w:rsidR="00B26B0E" w:rsidRPr="000F0AED" w:rsidTr="00B26B0E">
        <w:tc>
          <w:tcPr>
            <w:tcW w:w="1800" w:type="dxa"/>
            <w:tcBorders>
              <w:top w:val="single" w:sz="24" w:space="0" w:color="FFFFFF" w:themeColor="background1"/>
              <w:left w:val="double" w:sz="4" w:space="0" w:color="auto"/>
            </w:tcBorders>
          </w:tcPr>
          <w:p w:rsidR="00B26B0E" w:rsidRPr="000F0AED" w:rsidRDefault="00B26B0E" w:rsidP="004749AA">
            <w:pPr>
              <w:jc w:val="both"/>
              <w:rPr>
                <w:b/>
                <w:i/>
                <w:lang w:val="ro-RO"/>
              </w:rPr>
            </w:pPr>
          </w:p>
        </w:tc>
        <w:tc>
          <w:tcPr>
            <w:tcW w:w="2400" w:type="dxa"/>
            <w:gridSpan w:val="2"/>
            <w:vMerge/>
          </w:tcPr>
          <w:p w:rsidR="00B26B0E" w:rsidRPr="000F0AED" w:rsidRDefault="00B26B0E" w:rsidP="004749AA">
            <w:pPr>
              <w:rPr>
                <w:b/>
                <w:sz w:val="20"/>
                <w:highlight w:val="yellow"/>
                <w:lang w:val="ro-RO"/>
              </w:rPr>
            </w:pPr>
          </w:p>
        </w:tc>
        <w:tc>
          <w:tcPr>
            <w:tcW w:w="4680" w:type="dxa"/>
            <w:gridSpan w:val="2"/>
          </w:tcPr>
          <w:p w:rsidR="00B26B0E" w:rsidRDefault="00B26B0E" w:rsidP="004749AA">
            <w:pPr>
              <w:jc w:val="both"/>
              <w:rPr>
                <w:sz w:val="20"/>
                <w:lang w:val="ro-RO"/>
              </w:rPr>
            </w:pPr>
            <w:r w:rsidRPr="000F0AED">
              <w:rPr>
                <w:b/>
                <w:sz w:val="20"/>
                <w:lang w:val="ro-RO"/>
              </w:rPr>
              <w:t>Ref 2:</w:t>
            </w:r>
            <w:r w:rsidRPr="000F0AED">
              <w:rPr>
                <w:sz w:val="20"/>
                <w:lang w:val="ro-RO"/>
              </w:rPr>
              <w:t xml:space="preserve"> Mai mult decât simplul transfer de cunoaştere de la cadrul didactic la student, instituţia creează medii si experienţe de învăţare care conduc studenţii să descopere şi să creeze ei înşişi cunoaştere. Cadrul didactic orientează dezvoltarea intelectuală a studentului dându-i o dimensiune strategică.</w:t>
            </w:r>
          </w:p>
          <w:p w:rsidR="00B26B0E" w:rsidRPr="000F0AED" w:rsidRDefault="00B26B0E" w:rsidP="004749AA">
            <w:pPr>
              <w:jc w:val="both"/>
              <w:rPr>
                <w:b/>
                <w:sz w:val="20"/>
                <w:lang w:val="ro-RO"/>
              </w:rPr>
            </w:pPr>
          </w:p>
        </w:tc>
        <w:tc>
          <w:tcPr>
            <w:tcW w:w="5721" w:type="dxa"/>
            <w:tcBorders>
              <w:right w:val="double" w:sz="4" w:space="0" w:color="auto"/>
            </w:tcBorders>
            <w:vAlign w:val="center"/>
          </w:tcPr>
          <w:p w:rsidR="00B26B0E" w:rsidRPr="000F0AED" w:rsidRDefault="00B26B0E" w:rsidP="001B75B2">
            <w:pPr>
              <w:pStyle w:val="Style12"/>
              <w:widowControl/>
              <w:rPr>
                <w:sz w:val="20"/>
                <w:szCs w:val="20"/>
              </w:rPr>
            </w:pPr>
          </w:p>
        </w:tc>
      </w:tr>
      <w:tr w:rsidR="00B26B0E" w:rsidRPr="00B37129" w:rsidTr="00B26B0E">
        <w:tc>
          <w:tcPr>
            <w:tcW w:w="1800" w:type="dxa"/>
            <w:vMerge w:val="restart"/>
            <w:tcBorders>
              <w:left w:val="double" w:sz="4" w:space="0" w:color="auto"/>
            </w:tcBorders>
          </w:tcPr>
          <w:p w:rsidR="00B26B0E" w:rsidRPr="000F0AED" w:rsidRDefault="00B26B0E" w:rsidP="004749AA">
            <w:pPr>
              <w:jc w:val="both"/>
              <w:rPr>
                <w:b/>
                <w:i/>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 xml:space="preserve">5. Orientarea în cariera a </w:t>
            </w:r>
            <w:r w:rsidRPr="000F0AED">
              <w:rPr>
                <w:b/>
                <w:sz w:val="20"/>
                <w:lang w:val="ro-RO"/>
              </w:rPr>
              <w:lastRenderedPageBreak/>
              <w:t>studenţilor</w:t>
            </w:r>
          </w:p>
        </w:tc>
        <w:tc>
          <w:tcPr>
            <w:tcW w:w="4680" w:type="dxa"/>
            <w:gridSpan w:val="2"/>
          </w:tcPr>
          <w:p w:rsidR="00B26B0E" w:rsidRPr="000F0AED" w:rsidRDefault="00B26B0E" w:rsidP="004749AA">
            <w:pPr>
              <w:rPr>
                <w:sz w:val="20"/>
                <w:lang w:val="ro-RO"/>
              </w:rPr>
            </w:pPr>
            <w:r w:rsidRPr="000F0AED">
              <w:rPr>
                <w:b/>
                <w:sz w:val="20"/>
                <w:lang w:val="ro-RO"/>
              </w:rPr>
              <w:lastRenderedPageBreak/>
              <w:t>Min:</w:t>
            </w:r>
            <w:r w:rsidRPr="000F0AED">
              <w:rPr>
                <w:sz w:val="20"/>
                <w:lang w:val="ro-RO"/>
              </w:rPr>
              <w:t xml:space="preserve"> Profesorii au ore de permanenţă la dispoziţia </w:t>
            </w:r>
            <w:r w:rsidRPr="000F0AED">
              <w:rPr>
                <w:sz w:val="20"/>
                <w:lang w:val="ro-RO"/>
              </w:rPr>
              <w:lastRenderedPageBreak/>
              <w:t>studenţilor şi personalizează îndrumarea la cererea studentului. Există îndrumători sau tutori de an sau alte forme de asociere între un profesor şi un grup de studenţi</w:t>
            </w:r>
          </w:p>
        </w:tc>
        <w:tc>
          <w:tcPr>
            <w:tcW w:w="5721" w:type="dxa"/>
            <w:tcBorders>
              <w:right w:val="double" w:sz="4" w:space="0" w:color="auto"/>
            </w:tcBorders>
            <w:vAlign w:val="center"/>
          </w:tcPr>
          <w:p w:rsidR="00B26B0E" w:rsidRPr="000F0AED" w:rsidRDefault="00B26B0E" w:rsidP="00CC69DE">
            <w:pPr>
              <w:pStyle w:val="Titlu11"/>
              <w:tabs>
                <w:tab w:val="left" w:pos="19"/>
              </w:tabs>
              <w:jc w:val="both"/>
              <w:rPr>
                <w:rFonts w:ascii="Times New Roman" w:hAnsi="Times New Roman"/>
                <w:sz w:val="20"/>
                <w:szCs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jc w:val="both"/>
              <w:rPr>
                <w:b/>
                <w:i/>
                <w:lang w:val="ro-RO"/>
              </w:rPr>
            </w:pPr>
          </w:p>
        </w:tc>
        <w:tc>
          <w:tcPr>
            <w:tcW w:w="2400" w:type="dxa"/>
            <w:gridSpan w:val="2"/>
            <w:vMerge/>
          </w:tcPr>
          <w:p w:rsidR="00B26B0E" w:rsidRPr="000F0AED" w:rsidRDefault="00B26B0E" w:rsidP="004749AA">
            <w:pPr>
              <w:rPr>
                <w:b/>
                <w:sz w:val="20"/>
                <w:highlight w:val="yellow"/>
                <w:lang w:val="ro-RO"/>
              </w:rPr>
            </w:pPr>
          </w:p>
        </w:tc>
        <w:tc>
          <w:tcPr>
            <w:tcW w:w="4680" w:type="dxa"/>
            <w:gridSpan w:val="2"/>
          </w:tcPr>
          <w:p w:rsidR="00B26B0E" w:rsidRPr="000F0AED" w:rsidRDefault="00B26B0E" w:rsidP="004749AA">
            <w:pPr>
              <w:rPr>
                <w:lang w:val="ro-RO"/>
              </w:rPr>
            </w:pPr>
            <w:r w:rsidRPr="000F0AED">
              <w:rPr>
                <w:b/>
                <w:sz w:val="20"/>
                <w:lang w:val="ro-RO"/>
              </w:rPr>
              <w:t>Ref 1:</w:t>
            </w:r>
            <w:r w:rsidRPr="000F0AED">
              <w:rPr>
                <w:sz w:val="20"/>
                <w:lang w:val="ro-RO"/>
              </w:rPr>
              <w:t xml:space="preserve"> Există o structură pentru orientarea studenţilor la alegerea cursurilor şi a carierei, la nivelul fiecărei facultăţi. Se practică tutoratul colegial între studenţii din anii mai mari şi ceilalţi. Profesorii menţin legătura cu studenţii prin e-mail şi prin cel puţin 2 ore de consultaţie săptămânal.</w:t>
            </w:r>
          </w:p>
        </w:tc>
        <w:tc>
          <w:tcPr>
            <w:tcW w:w="5721" w:type="dxa"/>
            <w:tcBorders>
              <w:right w:val="double" w:sz="4" w:space="0" w:color="auto"/>
            </w:tcBorders>
            <w:vAlign w:val="center"/>
          </w:tcPr>
          <w:p w:rsidR="00B26B0E" w:rsidRPr="00DF6677" w:rsidRDefault="00B26B0E" w:rsidP="00DF6677">
            <w:pPr>
              <w:tabs>
                <w:tab w:val="left" w:pos="0"/>
              </w:tabs>
              <w:jc w:val="both"/>
              <w:rPr>
                <w:sz w:val="20"/>
                <w:lang w:val="ro-RO"/>
              </w:rPr>
            </w:pPr>
          </w:p>
        </w:tc>
      </w:tr>
      <w:tr w:rsidR="00B26B0E" w:rsidRPr="000F0AED" w:rsidTr="00B26B0E">
        <w:tc>
          <w:tcPr>
            <w:tcW w:w="1800" w:type="dxa"/>
            <w:vMerge w:val="restart"/>
            <w:tcBorders>
              <w:left w:val="double" w:sz="4" w:space="0" w:color="auto"/>
            </w:tcBorders>
            <w:vAlign w:val="center"/>
          </w:tcPr>
          <w:p w:rsidR="00B26B0E" w:rsidRPr="000F0AED" w:rsidRDefault="00B26B0E" w:rsidP="004749AA">
            <w:pPr>
              <w:rPr>
                <w:b/>
                <w:lang w:val="ro-RO"/>
              </w:rPr>
            </w:pPr>
            <w:r w:rsidRPr="000F0AED">
              <w:rPr>
                <w:b/>
                <w:i/>
                <w:caps/>
                <w:sz w:val="20"/>
                <w:lang w:val="ro-RO"/>
              </w:rPr>
              <w:t xml:space="preserve">B.3 – </w:t>
            </w:r>
            <w:r w:rsidRPr="000F0AED">
              <w:rPr>
                <w:b/>
                <w:bCs/>
                <w:i/>
                <w:caps/>
                <w:sz w:val="20"/>
                <w:lang w:val="ro-RO"/>
              </w:rPr>
              <w:t xml:space="preserve"> Activitatea de cercetare ştiinţifică</w:t>
            </w:r>
          </w:p>
        </w:tc>
        <w:tc>
          <w:tcPr>
            <w:tcW w:w="12801" w:type="dxa"/>
            <w:gridSpan w:val="5"/>
            <w:tcBorders>
              <w:right w:val="double" w:sz="4" w:space="0" w:color="auto"/>
            </w:tcBorders>
            <w:vAlign w:val="center"/>
          </w:tcPr>
          <w:p w:rsidR="00B26B0E" w:rsidRPr="000F0AED" w:rsidRDefault="00B26B0E" w:rsidP="004749AA">
            <w:pPr>
              <w:jc w:val="center"/>
              <w:rPr>
                <w:i/>
                <w:caps/>
                <w:sz w:val="20"/>
                <w:lang w:val="ro-RO"/>
              </w:rPr>
            </w:pPr>
          </w:p>
          <w:p w:rsidR="00B26B0E" w:rsidRPr="000F0AED" w:rsidRDefault="00B26B0E" w:rsidP="004749AA">
            <w:pPr>
              <w:jc w:val="center"/>
              <w:rPr>
                <w:i/>
                <w:caps/>
                <w:sz w:val="20"/>
                <w:lang w:val="ro-RO"/>
              </w:rPr>
            </w:pPr>
            <w:r w:rsidRPr="000F0AED">
              <w:rPr>
                <w:i/>
                <w:caps/>
                <w:sz w:val="20"/>
                <w:lang w:val="ro-RO"/>
              </w:rPr>
              <w:t>s.B.3.1.Programe de cercetare</w:t>
            </w:r>
          </w:p>
          <w:p w:rsidR="00B26B0E" w:rsidRPr="000F0AED" w:rsidRDefault="00B26B0E" w:rsidP="004749AA">
            <w:pPr>
              <w:jc w:val="center"/>
              <w:rPr>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sz w:val="20"/>
                <w:lang w:val="ro-RO"/>
              </w:rPr>
            </w:pPr>
            <w:r w:rsidRPr="000F0AED">
              <w:rPr>
                <w:b/>
                <w:sz w:val="20"/>
                <w:lang w:val="ro-RO"/>
              </w:rPr>
              <w:t>1. Programarea cercetării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 xml:space="preserve"> Strategia pe termen lung şi programele pe termen mediu şi scurt privind cercetarea sunt adoptate de Senat şi Consiliile facultăţilor, odată cu specificarea practicilor de obţinere şi de alocare ale resurselor de realizare şi a modalităţilor de valorificare</w:t>
            </w:r>
          </w:p>
        </w:tc>
        <w:tc>
          <w:tcPr>
            <w:tcW w:w="5721" w:type="dxa"/>
            <w:tcBorders>
              <w:right w:val="double" w:sz="4" w:space="0" w:color="auto"/>
            </w:tcBorders>
            <w:vAlign w:val="center"/>
          </w:tcPr>
          <w:p w:rsidR="00B26B0E" w:rsidRPr="000F0AED" w:rsidRDefault="00B26B0E" w:rsidP="003A2CD9">
            <w:pPr>
              <w:jc w:val="both"/>
              <w:rPr>
                <w:sz w:val="20"/>
                <w:lang w:val="ro-RO"/>
              </w:rPr>
            </w:pPr>
          </w:p>
        </w:tc>
      </w:tr>
      <w:tr w:rsidR="00B26B0E" w:rsidRPr="000C610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Ref.1:</w:t>
            </w:r>
            <w:r w:rsidRPr="000F0AED">
              <w:rPr>
                <w:sz w:val="20"/>
                <w:lang w:val="ro-RO"/>
              </w:rPr>
              <w:t xml:space="preserve"> Programarea cercetării ţine cont de şi se realizează în cadrul naţional, în privinţa competitivităţii şi valorificării. Cercetarea este</w:t>
            </w:r>
            <w:r>
              <w:rPr>
                <w:sz w:val="20"/>
                <w:lang w:val="ro-RO"/>
              </w:rPr>
              <w:t xml:space="preserve"> relevantă predominant naţional</w:t>
            </w:r>
          </w:p>
        </w:tc>
        <w:tc>
          <w:tcPr>
            <w:tcW w:w="5721" w:type="dxa"/>
            <w:tcBorders>
              <w:right w:val="double" w:sz="4" w:space="0" w:color="auto"/>
            </w:tcBorders>
            <w:vAlign w:val="center"/>
          </w:tcPr>
          <w:p w:rsidR="00B26B0E" w:rsidRPr="000F0AED" w:rsidRDefault="00B26B0E" w:rsidP="00670734">
            <w:pPr>
              <w:rPr>
                <w:sz w:val="20"/>
                <w:lang w:val="ro-RO"/>
              </w:rPr>
            </w:pPr>
          </w:p>
        </w:tc>
      </w:tr>
      <w:tr w:rsidR="00B26B0E" w:rsidRPr="000F0AE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Ref.2:</w:t>
            </w:r>
            <w:r w:rsidRPr="000F0AED">
              <w:rPr>
                <w:sz w:val="20"/>
                <w:lang w:val="ro-RO"/>
              </w:rPr>
              <w:t xml:space="preserve"> Programarea şi realizarea cercetării sunt raportate la cadrul european şi global</w:t>
            </w:r>
          </w:p>
          <w:p w:rsidR="00B26B0E" w:rsidRPr="000F0AED" w:rsidRDefault="00B26B0E" w:rsidP="004749AA">
            <w:pPr>
              <w:jc w:val="both"/>
              <w:rPr>
                <w:sz w:val="20"/>
                <w:lang w:val="ro-RO"/>
              </w:rPr>
            </w:pPr>
          </w:p>
          <w:p w:rsidR="00B26B0E" w:rsidRPr="000F0AED" w:rsidRDefault="00B26B0E" w:rsidP="004749AA">
            <w:pPr>
              <w:jc w:val="both"/>
              <w:rPr>
                <w:sz w:val="20"/>
                <w:lang w:val="ro-RO"/>
              </w:rPr>
            </w:pPr>
          </w:p>
        </w:tc>
        <w:tc>
          <w:tcPr>
            <w:tcW w:w="5721" w:type="dxa"/>
            <w:tcBorders>
              <w:right w:val="double" w:sz="4" w:space="0" w:color="auto"/>
            </w:tcBorders>
            <w:vAlign w:val="center"/>
          </w:tcPr>
          <w:p w:rsidR="00B26B0E" w:rsidRPr="000F0AED" w:rsidRDefault="00B26B0E" w:rsidP="00670734">
            <w:pPr>
              <w:rPr>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DF6677">
            <w:pPr>
              <w:jc w:val="both"/>
              <w:rPr>
                <w:b/>
                <w:sz w:val="20"/>
                <w:lang w:val="ro-RO"/>
              </w:rPr>
            </w:pPr>
            <w:r w:rsidRPr="000F0AED">
              <w:rPr>
                <w:b/>
                <w:sz w:val="20"/>
                <w:lang w:val="ro-RO"/>
              </w:rPr>
              <w:t>Ref.3: (se poate continua cu indicatori de performanta proprii institutiei, la nivele superioare)</w:t>
            </w:r>
            <w:r>
              <w:rPr>
                <w:b/>
                <w:sz w:val="20"/>
                <w:lang w:val="ro-RO"/>
              </w:rPr>
              <w:t xml:space="preserve"> </w:t>
            </w:r>
            <w:r w:rsidRPr="00DF6677">
              <w:rPr>
                <w:color w:val="0070C0"/>
                <w:sz w:val="20"/>
                <w:lang w:val="ro-RO"/>
              </w:rPr>
              <w:t>Programarea cercetării are în vedere accederea universității la poziții înalte în clasamentele românești și internaționale.</w:t>
            </w:r>
          </w:p>
        </w:tc>
        <w:tc>
          <w:tcPr>
            <w:tcW w:w="5721" w:type="dxa"/>
            <w:tcBorders>
              <w:right w:val="double" w:sz="4" w:space="0" w:color="auto"/>
            </w:tcBorders>
          </w:tcPr>
          <w:p w:rsidR="00B26B0E" w:rsidRPr="000F0AED" w:rsidRDefault="00B26B0E" w:rsidP="001F5A92">
            <w:pPr>
              <w:jc w:val="both"/>
              <w:rPr>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sz w:val="20"/>
                <w:lang w:val="ro-RO"/>
              </w:rPr>
            </w:pPr>
            <w:r w:rsidRPr="000F0AED">
              <w:rPr>
                <w:sz w:val="20"/>
                <w:lang w:val="ro-RO"/>
              </w:rPr>
              <w:t xml:space="preserve">2. </w:t>
            </w:r>
            <w:r w:rsidRPr="000F0AED">
              <w:rPr>
                <w:b/>
                <w:sz w:val="20"/>
                <w:lang w:val="ro-RO"/>
              </w:rPr>
              <w:t>Realizarea cercetării</w:t>
            </w:r>
          </w:p>
        </w:tc>
        <w:tc>
          <w:tcPr>
            <w:tcW w:w="4680" w:type="dxa"/>
            <w:gridSpan w:val="2"/>
          </w:tcPr>
          <w:p w:rsidR="00B26B0E" w:rsidRPr="000F0AED" w:rsidRDefault="00B26B0E" w:rsidP="004749AA">
            <w:pPr>
              <w:jc w:val="both"/>
              <w:rPr>
                <w:b/>
                <w:sz w:val="20"/>
                <w:lang w:val="ro-RO"/>
              </w:rPr>
            </w:pPr>
          </w:p>
          <w:p w:rsidR="00B26B0E" w:rsidRPr="000F0AED" w:rsidRDefault="00B26B0E" w:rsidP="004749AA">
            <w:pPr>
              <w:jc w:val="both"/>
              <w:rPr>
                <w:sz w:val="20"/>
                <w:lang w:val="ro-RO"/>
              </w:rPr>
            </w:pPr>
            <w:r w:rsidRPr="000F0AED">
              <w:rPr>
                <w:b/>
                <w:sz w:val="20"/>
                <w:lang w:val="ro-RO"/>
              </w:rPr>
              <w:t>Min:</w:t>
            </w:r>
            <w:r w:rsidRPr="000F0AED">
              <w:rPr>
                <w:sz w:val="20"/>
                <w:lang w:val="ro-RO"/>
              </w:rPr>
              <w:t xml:space="preserve"> Cercetarea dispune de resurse financiare, logistice şi umane suficiente pentru a realiza obiectivele propuse</w:t>
            </w:r>
          </w:p>
          <w:p w:rsidR="00B26B0E" w:rsidRPr="000F0AED" w:rsidRDefault="00B26B0E" w:rsidP="004749AA">
            <w:pPr>
              <w:jc w:val="both"/>
              <w:rPr>
                <w:lang w:val="ro-RO"/>
              </w:rPr>
            </w:pPr>
          </w:p>
        </w:tc>
        <w:tc>
          <w:tcPr>
            <w:tcW w:w="5721" w:type="dxa"/>
            <w:tcBorders>
              <w:right w:val="double" w:sz="4" w:space="0" w:color="auto"/>
            </w:tcBorders>
            <w:vAlign w:val="center"/>
          </w:tcPr>
          <w:p w:rsidR="00B26B0E" w:rsidRPr="000F0AED" w:rsidRDefault="00B26B0E" w:rsidP="00625899">
            <w:pPr>
              <w:pStyle w:val="Style12"/>
              <w:widowControl/>
              <w:jc w:val="both"/>
              <w:rPr>
                <w:sz w:val="20"/>
                <w:szCs w:val="20"/>
              </w:rPr>
            </w:pPr>
          </w:p>
        </w:tc>
      </w:tr>
      <w:tr w:rsidR="00B26B0E" w:rsidRPr="000F0AE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Ref.1:</w:t>
            </w:r>
            <w:r w:rsidRPr="000F0AED">
              <w:rPr>
                <w:sz w:val="20"/>
                <w:lang w:val="ro-RO"/>
              </w:rPr>
              <w:t xml:space="preserve"> Există un climat şi o cultură academică puternic centrate pe cercetare, atestate de numărul granturilor de </w:t>
            </w:r>
            <w:r w:rsidRPr="000F0AED">
              <w:rPr>
                <w:sz w:val="20"/>
                <w:lang w:val="ro-RO"/>
              </w:rPr>
              <w:lastRenderedPageBreak/>
              <w:t>cercetare, de publicaţii şi de transferul cognitiv şi tehnologic prin consultanţă, parcuri ştiinţifice, etc. Există şcoli doctorale pentru</w:t>
            </w:r>
            <w:r>
              <w:rPr>
                <w:sz w:val="20"/>
                <w:lang w:val="ro-RO"/>
              </w:rPr>
              <w:t xml:space="preserve"> formarea tinerilor cercetători.</w:t>
            </w:r>
          </w:p>
        </w:tc>
        <w:tc>
          <w:tcPr>
            <w:tcW w:w="5721" w:type="dxa"/>
            <w:tcBorders>
              <w:right w:val="double" w:sz="4" w:space="0" w:color="auto"/>
            </w:tcBorders>
            <w:vAlign w:val="center"/>
          </w:tcPr>
          <w:p w:rsidR="00B26B0E" w:rsidRPr="000F0AED" w:rsidRDefault="00B26B0E" w:rsidP="00625899">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Ref.2:</w:t>
            </w:r>
            <w:r w:rsidRPr="000F0AED">
              <w:rPr>
                <w:sz w:val="20"/>
                <w:lang w:val="ro-RO"/>
              </w:rPr>
              <w:t xml:space="preserve"> Există certificarea îndeplinirii unor standarde de calitate sau excelenţă în cercetarea ştiinţifică, din punctul de vedere al organizării, urmăririi desfăşurării proiectelor de cercetare, avizării interne a rezultatelor şi eliminării practicilor neconforme cu etica</w:t>
            </w:r>
          </w:p>
        </w:tc>
        <w:tc>
          <w:tcPr>
            <w:tcW w:w="5721" w:type="dxa"/>
            <w:tcBorders>
              <w:right w:val="double" w:sz="4" w:space="0" w:color="auto"/>
            </w:tcBorders>
            <w:vAlign w:val="center"/>
          </w:tcPr>
          <w:p w:rsidR="00B26B0E" w:rsidRPr="000F0AED" w:rsidRDefault="00B26B0E" w:rsidP="004B709C">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sz w:val="20"/>
                <w:lang w:val="ro-RO"/>
              </w:rPr>
            </w:pPr>
          </w:p>
        </w:tc>
        <w:tc>
          <w:tcPr>
            <w:tcW w:w="4680" w:type="dxa"/>
            <w:gridSpan w:val="2"/>
          </w:tcPr>
          <w:p w:rsidR="00B26B0E" w:rsidRDefault="00B26B0E" w:rsidP="009F676E">
            <w:pPr>
              <w:jc w:val="both"/>
              <w:rPr>
                <w:b/>
                <w:sz w:val="20"/>
                <w:lang w:val="ro-RO"/>
              </w:rPr>
            </w:pPr>
            <w:r w:rsidRPr="000F0AED">
              <w:rPr>
                <w:b/>
                <w:sz w:val="20"/>
                <w:lang w:val="ro-RO"/>
              </w:rPr>
              <w:t>Ref.3: (se poate continua cu indicatori de performanta proprii institutiei, la nivele superioare)</w:t>
            </w:r>
            <w:r>
              <w:rPr>
                <w:b/>
                <w:sz w:val="20"/>
                <w:lang w:val="ro-RO"/>
              </w:rPr>
              <w:t xml:space="preserve"> </w:t>
            </w:r>
          </w:p>
          <w:p w:rsidR="00B26B0E" w:rsidRDefault="00B26B0E" w:rsidP="009F676E">
            <w:pPr>
              <w:jc w:val="both"/>
              <w:rPr>
                <w:b/>
                <w:sz w:val="20"/>
                <w:lang w:val="ro-RO"/>
              </w:rPr>
            </w:pPr>
          </w:p>
          <w:p w:rsidR="00B26B0E" w:rsidRPr="000F0AED" w:rsidRDefault="00B26B0E" w:rsidP="009F676E">
            <w:pPr>
              <w:jc w:val="both"/>
              <w:rPr>
                <w:b/>
                <w:sz w:val="20"/>
                <w:lang w:val="ro-RO"/>
              </w:rPr>
            </w:pPr>
            <w:r w:rsidRPr="004F4708">
              <w:rPr>
                <w:sz w:val="20"/>
                <w:lang w:val="ro-RO"/>
              </w:rPr>
              <w:t>Intensivitatea în ITC la nivelul managementului cercetării științifice</w:t>
            </w:r>
            <w:r>
              <w:rPr>
                <w:b/>
                <w:sz w:val="20"/>
                <w:lang w:val="ro-RO"/>
              </w:rPr>
              <w:t xml:space="preserve"> </w:t>
            </w:r>
          </w:p>
        </w:tc>
        <w:tc>
          <w:tcPr>
            <w:tcW w:w="5721" w:type="dxa"/>
            <w:tcBorders>
              <w:right w:val="double" w:sz="4" w:space="0" w:color="auto"/>
            </w:tcBorders>
            <w:vAlign w:val="center"/>
          </w:tcPr>
          <w:p w:rsidR="00B26B0E" w:rsidRPr="004F4708" w:rsidRDefault="00B26B0E" w:rsidP="00D20B8C">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sz w:val="20"/>
                <w:lang w:val="ro-RO"/>
              </w:rPr>
            </w:pPr>
            <w:r w:rsidRPr="000F0AED">
              <w:rPr>
                <w:sz w:val="20"/>
                <w:lang w:val="ro-RO"/>
              </w:rPr>
              <w:t xml:space="preserve">3. </w:t>
            </w:r>
            <w:r w:rsidRPr="000F0AED">
              <w:rPr>
                <w:b/>
                <w:sz w:val="20"/>
                <w:lang w:val="ro-RO"/>
              </w:rPr>
              <w:t>Valorificarea cercetării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 xml:space="preserve"> Cercetarea este valorificată prin: publicaţii pentru scopuri didactice, publicaţii ştiinţifice, transfer tehnologic prin centre de consultanţă, parcuri ştiinţifice sau alte structuri de valorificare, realizarea unor produse noi etc. Fiecare cadru didactic şi cercetător are anual cel puţin o publicaţie sau o realizare didactică sau ştiinţifică.</w:t>
            </w:r>
          </w:p>
          <w:p w:rsidR="00B26B0E" w:rsidRPr="000F0AED" w:rsidRDefault="00B26B0E" w:rsidP="004749AA">
            <w:pPr>
              <w:jc w:val="both"/>
              <w:rPr>
                <w:lang w:val="ro-RO"/>
              </w:rPr>
            </w:pPr>
          </w:p>
        </w:tc>
        <w:tc>
          <w:tcPr>
            <w:tcW w:w="5721" w:type="dxa"/>
            <w:tcBorders>
              <w:right w:val="double" w:sz="4" w:space="0" w:color="auto"/>
            </w:tcBorders>
            <w:vAlign w:val="center"/>
          </w:tcPr>
          <w:p w:rsidR="00B26B0E" w:rsidRPr="000F0AED" w:rsidRDefault="00B26B0E" w:rsidP="00C63491">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sz w:val="20"/>
                <w:lang w:val="ro-RO"/>
              </w:rPr>
            </w:pPr>
          </w:p>
        </w:tc>
        <w:tc>
          <w:tcPr>
            <w:tcW w:w="4680" w:type="dxa"/>
            <w:gridSpan w:val="2"/>
          </w:tcPr>
          <w:p w:rsidR="00B26B0E" w:rsidRPr="000F0AED" w:rsidRDefault="00B26B0E" w:rsidP="004749AA">
            <w:pPr>
              <w:jc w:val="both"/>
              <w:rPr>
                <w:sz w:val="20"/>
                <w:lang w:val="ro-RO"/>
              </w:rPr>
            </w:pPr>
            <w:r w:rsidRPr="000F0AED">
              <w:rPr>
                <w:sz w:val="20"/>
                <w:lang w:val="ro-RO"/>
              </w:rPr>
              <w:t>Ref.1: Rezultatele cercetării sunt apreciate la nivel naţional prin premii, citări, cotări, etc. Publicaţiile, patentele, lucrările de anvergură etc. sunt menţionate în baze de date internaţionale</w:t>
            </w:r>
          </w:p>
          <w:p w:rsidR="00B26B0E" w:rsidRPr="000F0AED" w:rsidRDefault="00B26B0E" w:rsidP="004749AA">
            <w:pPr>
              <w:jc w:val="both"/>
              <w:rPr>
                <w:sz w:val="20"/>
                <w:lang w:val="ro-RO"/>
              </w:rPr>
            </w:pPr>
          </w:p>
        </w:tc>
        <w:tc>
          <w:tcPr>
            <w:tcW w:w="5721" w:type="dxa"/>
            <w:tcBorders>
              <w:right w:val="double" w:sz="4" w:space="0" w:color="auto"/>
            </w:tcBorders>
            <w:vAlign w:val="center"/>
          </w:tcPr>
          <w:p w:rsidR="00B26B0E" w:rsidRPr="000F0AED" w:rsidRDefault="00B26B0E" w:rsidP="00615F0B">
            <w:pPr>
              <w:pStyle w:val="Style12"/>
              <w:jc w:val="both"/>
              <w:rPr>
                <w:sz w:val="20"/>
              </w:rPr>
            </w:pPr>
          </w:p>
        </w:tc>
      </w:tr>
      <w:tr w:rsidR="00B26B0E" w:rsidRPr="0055514D" w:rsidTr="00B26B0E">
        <w:trPr>
          <w:trHeight w:val="630"/>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sz w:val="20"/>
                <w:lang w:val="ro-RO"/>
              </w:rPr>
            </w:pPr>
          </w:p>
        </w:tc>
        <w:tc>
          <w:tcPr>
            <w:tcW w:w="4680" w:type="dxa"/>
            <w:gridSpan w:val="2"/>
          </w:tcPr>
          <w:p w:rsidR="00B26B0E" w:rsidRDefault="00B26B0E" w:rsidP="004749AA">
            <w:pPr>
              <w:rPr>
                <w:b/>
                <w:sz w:val="20"/>
                <w:lang w:val="ro-RO"/>
              </w:rPr>
            </w:pPr>
            <w:r w:rsidRPr="000F0AED">
              <w:rPr>
                <w:b/>
                <w:sz w:val="20"/>
                <w:lang w:val="ro-RO"/>
              </w:rPr>
              <w:t>Ref.2: (se poate continua cu indicatori de performanta proprii institutiei, la nivele superioare)</w:t>
            </w:r>
          </w:p>
          <w:p w:rsidR="00B26B0E" w:rsidRPr="00615F0B" w:rsidRDefault="00B26B0E" w:rsidP="005E0297">
            <w:pPr>
              <w:rPr>
                <w:sz w:val="20"/>
                <w:lang w:val="ro-RO"/>
              </w:rPr>
            </w:pPr>
            <w:r>
              <w:rPr>
                <w:sz w:val="20"/>
                <w:lang w:val="ro-RO"/>
              </w:rPr>
              <w:t>P</w:t>
            </w:r>
            <w:r w:rsidRPr="00615F0B">
              <w:rPr>
                <w:sz w:val="20"/>
                <w:lang w:val="ro-RO"/>
              </w:rPr>
              <w:t>oziți</w:t>
            </w:r>
            <w:r>
              <w:rPr>
                <w:sz w:val="20"/>
                <w:lang w:val="ro-RO"/>
              </w:rPr>
              <w:t>onarea</w:t>
            </w:r>
            <w:r w:rsidRPr="00615F0B">
              <w:rPr>
                <w:sz w:val="20"/>
                <w:lang w:val="ro-RO"/>
              </w:rPr>
              <w:t xml:space="preserve"> universității în clasamente</w:t>
            </w:r>
            <w:r>
              <w:rPr>
                <w:sz w:val="20"/>
                <w:lang w:val="ro-RO"/>
              </w:rPr>
              <w:t xml:space="preserve">le naționale și </w:t>
            </w:r>
            <w:r w:rsidRPr="00615F0B">
              <w:rPr>
                <w:sz w:val="20"/>
                <w:lang w:val="ro-RO"/>
              </w:rPr>
              <w:t xml:space="preserve"> internaționale</w:t>
            </w:r>
          </w:p>
        </w:tc>
        <w:tc>
          <w:tcPr>
            <w:tcW w:w="5721" w:type="dxa"/>
            <w:tcBorders>
              <w:right w:val="double" w:sz="4" w:space="0" w:color="auto"/>
            </w:tcBorders>
            <w:vAlign w:val="center"/>
          </w:tcPr>
          <w:p w:rsidR="00B26B0E" w:rsidRPr="000F0AED" w:rsidRDefault="00B26B0E" w:rsidP="005E0297">
            <w:pPr>
              <w:pStyle w:val="Style12"/>
              <w:widowControl/>
              <w:jc w:val="both"/>
              <w:rPr>
                <w:color w:val="000000"/>
                <w:sz w:val="20"/>
                <w:szCs w:val="20"/>
              </w:rPr>
            </w:pPr>
          </w:p>
        </w:tc>
      </w:tr>
      <w:tr w:rsidR="00B26B0E" w:rsidRPr="000F0AED" w:rsidTr="00B26B0E">
        <w:trPr>
          <w:trHeight w:val="554"/>
        </w:trPr>
        <w:tc>
          <w:tcPr>
            <w:tcW w:w="1800" w:type="dxa"/>
            <w:vMerge w:val="restart"/>
            <w:tcBorders>
              <w:left w:val="double" w:sz="4" w:space="0" w:color="auto"/>
            </w:tcBorders>
            <w:vAlign w:val="center"/>
          </w:tcPr>
          <w:p w:rsidR="00B26B0E" w:rsidRPr="000F0AED" w:rsidRDefault="00B26B0E" w:rsidP="004749AA">
            <w:pPr>
              <w:rPr>
                <w:b/>
                <w:i/>
                <w:caps/>
                <w:sz w:val="20"/>
                <w:lang w:val="ro-RO"/>
              </w:rPr>
            </w:pPr>
          </w:p>
          <w:p w:rsidR="00B26B0E" w:rsidRPr="000F0AED" w:rsidRDefault="00B26B0E" w:rsidP="004749AA">
            <w:pPr>
              <w:rPr>
                <w:b/>
                <w:lang w:val="ro-RO"/>
              </w:rPr>
            </w:pPr>
            <w:r w:rsidRPr="000F0AED">
              <w:rPr>
                <w:b/>
                <w:i/>
                <w:caps/>
                <w:sz w:val="20"/>
                <w:lang w:val="ro-RO"/>
              </w:rPr>
              <w:t xml:space="preserve">B.4 </w:t>
            </w:r>
            <w:r w:rsidRPr="000F0AED">
              <w:rPr>
                <w:b/>
                <w:bCs/>
                <w:lang w:val="ro-RO"/>
              </w:rPr>
              <w:t xml:space="preserve">– </w:t>
            </w:r>
            <w:r w:rsidRPr="000F0AED">
              <w:rPr>
                <w:b/>
                <w:bCs/>
                <w:i/>
                <w:caps/>
                <w:sz w:val="20"/>
                <w:lang w:val="ro-RO"/>
              </w:rPr>
              <w:t>Activitatea financiară a organizaţiei</w:t>
            </w:r>
          </w:p>
        </w:tc>
        <w:tc>
          <w:tcPr>
            <w:tcW w:w="12801" w:type="dxa"/>
            <w:gridSpan w:val="5"/>
            <w:tcBorders>
              <w:right w:val="double" w:sz="4" w:space="0" w:color="auto"/>
            </w:tcBorders>
            <w:vAlign w:val="center"/>
          </w:tcPr>
          <w:p w:rsidR="00B26B0E" w:rsidRPr="000F0AED" w:rsidRDefault="00B26B0E" w:rsidP="007174E3">
            <w:pPr>
              <w:jc w:val="center"/>
              <w:rPr>
                <w:bCs/>
                <w:i/>
                <w:iCs/>
                <w:caps/>
                <w:sz w:val="20"/>
                <w:lang w:val="ro-RO"/>
              </w:rPr>
            </w:pPr>
            <w:r w:rsidRPr="000F0AED">
              <w:rPr>
                <w:bCs/>
                <w:i/>
                <w:iCs/>
                <w:caps/>
                <w:sz w:val="20"/>
                <w:lang w:val="ro-RO"/>
              </w:rPr>
              <w:t>s.B..4.1.1. Buget şi contabilitate</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Align w:val="center"/>
          </w:tcPr>
          <w:p w:rsidR="00B26B0E" w:rsidRPr="000F0AED" w:rsidRDefault="00B26B0E" w:rsidP="004749AA">
            <w:pPr>
              <w:rPr>
                <w:b/>
                <w:sz w:val="20"/>
                <w:lang w:val="ro-RO"/>
              </w:rPr>
            </w:pPr>
            <w:r w:rsidRPr="000F0AED">
              <w:rPr>
                <w:b/>
                <w:sz w:val="20"/>
                <w:lang w:val="ro-RO"/>
              </w:rPr>
              <w:t xml:space="preserve">1. </w:t>
            </w:r>
            <w:r w:rsidRPr="000F0AED">
              <w:rPr>
                <w:b/>
                <w:bCs/>
                <w:iCs/>
                <w:sz w:val="20"/>
                <w:lang w:val="ro-RO"/>
              </w:rPr>
              <w:t>Bugetul de venituri şi cheltuieli</w:t>
            </w:r>
          </w:p>
        </w:tc>
        <w:tc>
          <w:tcPr>
            <w:tcW w:w="4680" w:type="dxa"/>
            <w:gridSpan w:val="2"/>
          </w:tcPr>
          <w:p w:rsidR="00B26B0E" w:rsidRPr="000F0AED" w:rsidRDefault="00B26B0E" w:rsidP="004749AA">
            <w:pPr>
              <w:jc w:val="both"/>
              <w:rPr>
                <w:lang w:val="ro-RO"/>
              </w:rPr>
            </w:pPr>
            <w:r w:rsidRPr="000F0AED">
              <w:rPr>
                <w:b/>
                <w:sz w:val="20"/>
                <w:lang w:val="ro-RO"/>
              </w:rPr>
              <w:t>Min:</w:t>
            </w:r>
            <w:r w:rsidRPr="000F0AED">
              <w:rPr>
                <w:sz w:val="20"/>
                <w:lang w:val="ro-RO"/>
              </w:rPr>
              <w:t xml:space="preserve"> Instituţia dispune de un buget anual de venituri şi cheltuieli aprobat de Senat şi este respectat în mod riguros. Cheltuielile ocazionate de plata salariilor la o instituţie de învăţământ superior  nu trebuie să depăşească în fiecare an acel procent din totalul </w:t>
            </w:r>
            <w:r w:rsidRPr="000F0AED">
              <w:rPr>
                <w:sz w:val="20"/>
                <w:lang w:val="ro-RO"/>
              </w:rPr>
              <w:lastRenderedPageBreak/>
              <w:t>veniturilor care îi asigură o funcţionare sustenabilă. Pentru obţinerea acreditării, instituţia de învăţământ superior trebuie să facă dovada că în perioada funcţionării provizorii a utilizat cel puţin 30 % din veniturile obţinute în fiecare an din taxele studenţilor pentru investiţii în bază materială proprie. Taxele şcolare ale studenţilor sunt calculate în concordanţă cu costurile medii de şcolarizare pe an universitar din învăţământul public finanţat de la buget la studiile universitare de licenţă, masterat sau doctorat similare şi sunt aduse la cunoştinţă studenţilor prin diferite mijloace de comunicare. Studenţii sunt informaţi despre posibilităţile de asistenţă financiară din partea instituţiei şi despre modul de utilizare a taxelor. După trei cicluri de şcolarizare ulterioare înfiinţării prin lege, instituţia de învăţământ superior trebuie să facă dovada că dispune în proprietate de cel puţin 70% din spaţiile de învăţământ cu toate dotările necesare acestora.</w:t>
            </w:r>
          </w:p>
        </w:tc>
        <w:tc>
          <w:tcPr>
            <w:tcW w:w="5721" w:type="dxa"/>
            <w:tcBorders>
              <w:right w:val="double" w:sz="4" w:space="0" w:color="auto"/>
            </w:tcBorders>
            <w:vAlign w:val="center"/>
          </w:tcPr>
          <w:p w:rsidR="00B26B0E" w:rsidRPr="00B26B0E" w:rsidRDefault="00B26B0E" w:rsidP="00CB22EF">
            <w:pPr>
              <w:jc w:val="both"/>
              <w:rPr>
                <w:color w:val="000000"/>
                <w:sz w:val="20"/>
                <w:lang w:val="ro-RO"/>
              </w:rPr>
            </w:pPr>
          </w:p>
        </w:tc>
      </w:tr>
      <w:tr w:rsidR="00B26B0E" w:rsidRPr="00B37129" w:rsidTr="00B26B0E">
        <w:trPr>
          <w:trHeight w:val="2119"/>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 xml:space="preserve">2. </w:t>
            </w:r>
            <w:r w:rsidRPr="000F0AED">
              <w:rPr>
                <w:b/>
                <w:bCs/>
                <w:iCs/>
                <w:color w:val="000000"/>
                <w:sz w:val="20"/>
                <w:lang w:val="ro-RO"/>
              </w:rPr>
              <w:t>Contabilitate</w:t>
            </w:r>
          </w:p>
        </w:tc>
        <w:tc>
          <w:tcPr>
            <w:tcW w:w="4680" w:type="dxa"/>
            <w:gridSpan w:val="2"/>
          </w:tcPr>
          <w:p w:rsidR="00B26B0E" w:rsidRPr="000F0AED" w:rsidRDefault="00B26B0E" w:rsidP="004749AA">
            <w:pPr>
              <w:rPr>
                <w:lang w:val="ro-RO"/>
              </w:rPr>
            </w:pPr>
            <w:r w:rsidRPr="000F0AED">
              <w:rPr>
                <w:b/>
                <w:sz w:val="20"/>
                <w:lang w:val="ro-RO"/>
              </w:rPr>
              <w:t>Min:</w:t>
            </w:r>
            <w:r w:rsidRPr="000F0AED">
              <w:rPr>
                <w:sz w:val="20"/>
                <w:lang w:val="ro-RO"/>
              </w:rPr>
              <w:t xml:space="preserve"> </w:t>
            </w:r>
            <w:r w:rsidRPr="000F0AED">
              <w:rPr>
                <w:color w:val="000000"/>
                <w:sz w:val="20"/>
                <w:lang w:val="ro-RO"/>
              </w:rPr>
              <w:t>Pentru obţinerea şi pentru conservarea statutului de acreditare, instituţia trebuie să facă dovada organizării şi funcţionării contabilităţii proprii la nivel de instituţie, prin registrul inventar, bilanţul contabil, contul de execuţie bugetară şi raportul de gestiune, din care rezultă că cheltuielile efectuate sunt în concordanţă cu legislaţia în vigoare, veniturile încasate  şi destinaţia lor, precum şi caracterul non-profit al instituţiei.</w:t>
            </w:r>
          </w:p>
        </w:tc>
        <w:tc>
          <w:tcPr>
            <w:tcW w:w="5721" w:type="dxa"/>
            <w:tcBorders>
              <w:right w:val="double" w:sz="4" w:space="0" w:color="auto"/>
            </w:tcBorders>
            <w:vAlign w:val="center"/>
          </w:tcPr>
          <w:p w:rsidR="00B26B0E" w:rsidRPr="000F0AED" w:rsidRDefault="00B26B0E" w:rsidP="00CD3C60">
            <w:pPr>
              <w:pStyle w:val="Style12"/>
              <w:widowControl/>
              <w:jc w:val="both"/>
              <w:rPr>
                <w:color w:val="000000"/>
                <w:sz w:val="20"/>
                <w:szCs w:val="20"/>
              </w:rPr>
            </w:pPr>
          </w:p>
        </w:tc>
      </w:tr>
      <w:tr w:rsidR="00B26B0E" w:rsidRPr="00B37129" w:rsidTr="00B26B0E">
        <w:trPr>
          <w:trHeight w:val="1129"/>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rPr>
                <w:b/>
                <w:sz w:val="20"/>
                <w:lang w:val="ro-RO"/>
              </w:rPr>
            </w:pPr>
          </w:p>
          <w:p w:rsidR="00B26B0E" w:rsidRPr="000F0AED" w:rsidRDefault="00B26B0E" w:rsidP="004749AA">
            <w:pPr>
              <w:rPr>
                <w:color w:val="000000"/>
                <w:sz w:val="20"/>
                <w:lang w:val="ro-RO"/>
              </w:rPr>
            </w:pPr>
            <w:r w:rsidRPr="000F0AED">
              <w:rPr>
                <w:b/>
                <w:sz w:val="20"/>
                <w:lang w:val="ro-RO"/>
              </w:rPr>
              <w:t>Ref.1</w:t>
            </w:r>
            <w:r w:rsidRPr="000F0AED">
              <w:rPr>
                <w:sz w:val="20"/>
                <w:lang w:val="ro-RO"/>
              </w:rPr>
              <w:t xml:space="preserve">: </w:t>
            </w:r>
            <w:r w:rsidRPr="000F0AED">
              <w:rPr>
                <w:color w:val="000000"/>
                <w:sz w:val="20"/>
                <w:lang w:val="ro-RO"/>
              </w:rPr>
              <w:t>Activitatea de contabilitate este informatizată şi permanent transparentă</w:t>
            </w:r>
          </w:p>
          <w:p w:rsidR="00B26B0E" w:rsidRPr="000F0AED" w:rsidRDefault="00B26B0E" w:rsidP="004749AA">
            <w:pPr>
              <w:rPr>
                <w:sz w:val="20"/>
                <w:lang w:val="ro-RO"/>
              </w:rPr>
            </w:pPr>
          </w:p>
        </w:tc>
        <w:tc>
          <w:tcPr>
            <w:tcW w:w="5721" w:type="dxa"/>
            <w:tcBorders>
              <w:right w:val="double" w:sz="4" w:space="0" w:color="auto"/>
            </w:tcBorders>
            <w:vAlign w:val="center"/>
          </w:tcPr>
          <w:p w:rsidR="00B26B0E" w:rsidRPr="000F0AED" w:rsidRDefault="00B26B0E" w:rsidP="00CD3C60">
            <w:pPr>
              <w:pStyle w:val="Style12"/>
              <w:widowControl/>
              <w:jc w:val="both"/>
              <w:rPr>
                <w:color w:val="000000"/>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rPr>
                <w:b/>
                <w:sz w:val="20"/>
                <w:lang w:val="ro-RO"/>
              </w:rPr>
            </w:pPr>
            <w:r w:rsidRPr="000F0AED">
              <w:rPr>
                <w:b/>
                <w:sz w:val="20"/>
                <w:lang w:val="ro-RO"/>
              </w:rPr>
              <w:t>Ref.2: (se poate continua cu indicatori de performanta proprii institutiei, la nivele superioare)</w:t>
            </w:r>
          </w:p>
        </w:tc>
        <w:tc>
          <w:tcPr>
            <w:tcW w:w="5721" w:type="dxa"/>
            <w:tcBorders>
              <w:right w:val="double" w:sz="4" w:space="0" w:color="auto"/>
            </w:tcBorders>
            <w:vAlign w:val="center"/>
          </w:tcPr>
          <w:p w:rsidR="00B26B0E" w:rsidRPr="000F0AED" w:rsidRDefault="00B26B0E" w:rsidP="001627BE">
            <w:pPr>
              <w:pStyle w:val="Style12"/>
              <w:widowControl/>
              <w:rPr>
                <w:color w:val="000000"/>
                <w:sz w:val="20"/>
                <w:szCs w:val="20"/>
              </w:rPr>
            </w:pPr>
          </w:p>
        </w:tc>
      </w:tr>
      <w:tr w:rsidR="00B26B0E" w:rsidRPr="00B37129" w:rsidTr="00B26B0E">
        <w:tc>
          <w:tcPr>
            <w:tcW w:w="1800" w:type="dxa"/>
            <w:vMerge/>
            <w:tcBorders>
              <w:left w:val="double" w:sz="4" w:space="0" w:color="auto"/>
              <w:bottom w:val="double" w:sz="4" w:space="0" w:color="auto"/>
            </w:tcBorders>
          </w:tcPr>
          <w:p w:rsidR="00B26B0E" w:rsidRPr="000F0AED" w:rsidRDefault="00B26B0E" w:rsidP="004749AA">
            <w:pPr>
              <w:rPr>
                <w:lang w:val="ro-RO"/>
              </w:rPr>
            </w:pPr>
          </w:p>
        </w:tc>
        <w:tc>
          <w:tcPr>
            <w:tcW w:w="2400" w:type="dxa"/>
            <w:gridSpan w:val="2"/>
            <w:tcBorders>
              <w:bottom w:val="double" w:sz="4" w:space="0" w:color="auto"/>
            </w:tcBorders>
            <w:vAlign w:val="center"/>
          </w:tcPr>
          <w:p w:rsidR="00B26B0E" w:rsidRPr="000F0AED" w:rsidRDefault="00B26B0E" w:rsidP="004749AA">
            <w:pPr>
              <w:rPr>
                <w:b/>
                <w:sz w:val="20"/>
                <w:lang w:val="ro-RO"/>
              </w:rPr>
            </w:pPr>
            <w:r w:rsidRPr="000F0AED">
              <w:rPr>
                <w:b/>
                <w:sz w:val="20"/>
                <w:lang w:val="ro-RO"/>
              </w:rPr>
              <w:t xml:space="preserve">3. </w:t>
            </w:r>
            <w:r w:rsidRPr="000F0AED">
              <w:rPr>
                <w:b/>
                <w:bCs/>
                <w:iCs/>
                <w:color w:val="000000"/>
                <w:sz w:val="20"/>
                <w:lang w:val="ro-RO"/>
              </w:rPr>
              <w:t>Auditare şi răspundere publică</w:t>
            </w:r>
          </w:p>
        </w:tc>
        <w:tc>
          <w:tcPr>
            <w:tcW w:w="4680" w:type="dxa"/>
            <w:gridSpan w:val="2"/>
            <w:tcBorders>
              <w:bottom w:val="double" w:sz="4" w:space="0" w:color="auto"/>
            </w:tcBorders>
          </w:tcPr>
          <w:p w:rsidR="00B26B0E" w:rsidRPr="000F0AED" w:rsidRDefault="00B26B0E" w:rsidP="004749AA">
            <w:pPr>
              <w:rPr>
                <w:color w:val="000000"/>
                <w:sz w:val="20"/>
                <w:lang w:val="ro-RO"/>
              </w:rPr>
            </w:pPr>
            <w:r w:rsidRPr="000F0AED">
              <w:rPr>
                <w:b/>
                <w:sz w:val="20"/>
                <w:lang w:val="ro-RO"/>
              </w:rPr>
              <w:t>Min:</w:t>
            </w:r>
            <w:r w:rsidRPr="000F0AED">
              <w:rPr>
                <w:sz w:val="20"/>
                <w:lang w:val="ro-RO"/>
              </w:rPr>
              <w:t xml:space="preserve"> </w:t>
            </w:r>
            <w:r w:rsidRPr="000F0AED">
              <w:rPr>
                <w:color w:val="000000"/>
                <w:sz w:val="20"/>
                <w:lang w:val="ro-RO"/>
              </w:rPr>
              <w:t xml:space="preserve">Pentru obţinerea şi conservarea statutului de acreditare, instituţia face proba auditării interne şi externe a activităţii sale financiare. Bilanţul contabil, contul de execuţie bugetară şi rezultatele auditării </w:t>
            </w:r>
            <w:r w:rsidRPr="000F0AED">
              <w:rPr>
                <w:color w:val="000000"/>
                <w:sz w:val="20"/>
                <w:lang w:val="ro-RO"/>
              </w:rPr>
              <w:lastRenderedPageBreak/>
              <w:t>externe a situaţiilor financiare sunt făcute publice în urma analizei efectuate de Senat</w:t>
            </w:r>
          </w:p>
        </w:tc>
        <w:tc>
          <w:tcPr>
            <w:tcW w:w="5721" w:type="dxa"/>
            <w:tcBorders>
              <w:bottom w:val="double" w:sz="4" w:space="0" w:color="auto"/>
              <w:right w:val="double" w:sz="4" w:space="0" w:color="auto"/>
            </w:tcBorders>
            <w:vAlign w:val="center"/>
          </w:tcPr>
          <w:p w:rsidR="00B26B0E" w:rsidRPr="000F0AED" w:rsidRDefault="00B26B0E" w:rsidP="00CD3C60">
            <w:pPr>
              <w:pStyle w:val="Style12"/>
              <w:widowControl/>
              <w:jc w:val="both"/>
              <w:rPr>
                <w:color w:val="000000"/>
                <w:sz w:val="20"/>
                <w:szCs w:val="20"/>
              </w:rPr>
            </w:pPr>
          </w:p>
        </w:tc>
      </w:tr>
      <w:tr w:rsidR="00B26B0E" w:rsidRPr="000F0AED" w:rsidTr="00B26B0E">
        <w:tc>
          <w:tcPr>
            <w:tcW w:w="14601" w:type="dxa"/>
            <w:gridSpan w:val="6"/>
            <w:tcBorders>
              <w:top w:val="double" w:sz="4" w:space="0" w:color="auto"/>
              <w:left w:val="double" w:sz="4" w:space="0" w:color="auto"/>
              <w:bottom w:val="double" w:sz="4" w:space="0" w:color="auto"/>
              <w:right w:val="double" w:sz="4" w:space="0" w:color="auto"/>
            </w:tcBorders>
            <w:shd w:val="clear" w:color="auto" w:fill="B3B3B3"/>
          </w:tcPr>
          <w:p w:rsidR="00B26B0E" w:rsidRPr="000F0AED" w:rsidRDefault="00B26B0E" w:rsidP="004749AA">
            <w:pPr>
              <w:pStyle w:val="Heading6"/>
              <w:ind w:left="855"/>
              <w:jc w:val="center"/>
              <w:rPr>
                <w:sz w:val="28"/>
                <w:szCs w:val="28"/>
                <w:lang w:val="ro-RO"/>
              </w:rPr>
            </w:pPr>
            <w:r w:rsidRPr="000F0AED">
              <w:rPr>
                <w:bCs w:val="0"/>
                <w:sz w:val="28"/>
                <w:szCs w:val="28"/>
                <w:lang w:val="ro-RO"/>
              </w:rPr>
              <w:lastRenderedPageBreak/>
              <w:t>Domeniul C.  MANAGEMENTUL CALITĂŢII</w:t>
            </w:r>
          </w:p>
        </w:tc>
      </w:tr>
      <w:tr w:rsidR="00B26B0E" w:rsidRPr="00B37129" w:rsidTr="00B26B0E">
        <w:trPr>
          <w:trHeight w:val="584"/>
        </w:trPr>
        <w:tc>
          <w:tcPr>
            <w:tcW w:w="1800" w:type="dxa"/>
            <w:vMerge w:val="restart"/>
            <w:tcBorders>
              <w:top w:val="double" w:sz="4" w:space="0" w:color="auto"/>
              <w:left w:val="double" w:sz="4" w:space="0" w:color="auto"/>
            </w:tcBorders>
            <w:vAlign w:val="center"/>
          </w:tcPr>
          <w:p w:rsidR="00B26B0E" w:rsidRPr="000F0AED" w:rsidRDefault="00B26B0E" w:rsidP="004749AA">
            <w:pPr>
              <w:rPr>
                <w:b/>
                <w:i/>
                <w:caps/>
                <w:sz w:val="20"/>
                <w:lang w:val="ro-RO"/>
              </w:rPr>
            </w:pPr>
            <w:r w:rsidRPr="000F0AED">
              <w:rPr>
                <w:b/>
                <w:i/>
                <w:caps/>
                <w:sz w:val="20"/>
                <w:lang w:val="ro-RO"/>
              </w:rPr>
              <w:t>C.1 - Strategii şi proceduri pentru asigurarea calităţii</w:t>
            </w:r>
          </w:p>
        </w:tc>
        <w:tc>
          <w:tcPr>
            <w:tcW w:w="12801" w:type="dxa"/>
            <w:gridSpan w:val="5"/>
            <w:tcBorders>
              <w:top w:val="double" w:sz="4" w:space="0" w:color="auto"/>
              <w:right w:val="double" w:sz="4" w:space="0" w:color="auto"/>
            </w:tcBorders>
            <w:vAlign w:val="center"/>
          </w:tcPr>
          <w:p w:rsidR="00B26B0E" w:rsidRPr="000F0AED" w:rsidRDefault="00B26B0E" w:rsidP="004749AA">
            <w:pPr>
              <w:jc w:val="center"/>
              <w:rPr>
                <w:lang w:val="ro-RO"/>
              </w:rPr>
            </w:pPr>
            <w:r w:rsidRPr="000F0AED">
              <w:rPr>
                <w:i/>
                <w:caps/>
                <w:sz w:val="20"/>
                <w:lang w:val="ro-RO"/>
              </w:rPr>
              <w:t>s.C.1.1. Structuri şi politici pentru asigurarea calităţII</w:t>
            </w:r>
          </w:p>
        </w:tc>
      </w:tr>
      <w:tr w:rsidR="00B26B0E" w:rsidRPr="000C610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1. Organizarea sistemului de asigurare a calităţii</w:t>
            </w:r>
          </w:p>
        </w:tc>
        <w:tc>
          <w:tcPr>
            <w:tcW w:w="4680" w:type="dxa"/>
            <w:gridSpan w:val="2"/>
          </w:tcPr>
          <w:p w:rsidR="00B26B0E" w:rsidRPr="000F0AED" w:rsidRDefault="00B26B0E" w:rsidP="004749AA">
            <w:pPr>
              <w:rPr>
                <w:sz w:val="20"/>
                <w:lang w:val="ro-RO"/>
              </w:rPr>
            </w:pPr>
            <w:r w:rsidRPr="000F0AED">
              <w:rPr>
                <w:b/>
                <w:sz w:val="20"/>
                <w:lang w:val="ro-RO"/>
              </w:rPr>
              <w:t>Min:</w:t>
            </w:r>
            <w:r w:rsidRPr="000F0AED">
              <w:rPr>
                <w:sz w:val="20"/>
                <w:lang w:val="ro-RO"/>
              </w:rPr>
              <w:t xml:space="preserve"> În instituţie există o comisie centrală şi comisii pe programe de studii care lucrează în mod integrat</w:t>
            </w:r>
          </w:p>
        </w:tc>
        <w:tc>
          <w:tcPr>
            <w:tcW w:w="5721" w:type="dxa"/>
            <w:tcBorders>
              <w:right w:val="double" w:sz="4" w:space="0" w:color="auto"/>
            </w:tcBorders>
            <w:vAlign w:val="center"/>
          </w:tcPr>
          <w:p w:rsidR="00B26B0E" w:rsidRPr="00472FB0" w:rsidRDefault="00B26B0E" w:rsidP="00B90B92">
            <w:pPr>
              <w:rPr>
                <w:color w:val="00B050"/>
                <w:sz w:val="20"/>
                <w:lang w:val="ro-RO"/>
              </w:rPr>
            </w:pPr>
          </w:p>
        </w:tc>
      </w:tr>
      <w:tr w:rsidR="00B26B0E" w:rsidRPr="000C610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rPr>
                <w:sz w:val="20"/>
                <w:lang w:val="ro-RO"/>
              </w:rPr>
            </w:pPr>
            <w:r w:rsidRPr="000F0AED">
              <w:rPr>
                <w:b/>
                <w:sz w:val="20"/>
                <w:lang w:val="ro-RO"/>
              </w:rPr>
              <w:t>Ref.1:</w:t>
            </w:r>
            <w:r w:rsidRPr="000F0AED">
              <w:rPr>
                <w:sz w:val="20"/>
                <w:lang w:val="ro-RO"/>
              </w:rPr>
              <w:t xml:space="preserve"> Comisia promovează în instituţie o cultură a calităţii.</w:t>
            </w:r>
          </w:p>
        </w:tc>
        <w:tc>
          <w:tcPr>
            <w:tcW w:w="5721" w:type="dxa"/>
            <w:tcBorders>
              <w:right w:val="double" w:sz="4" w:space="0" w:color="auto"/>
            </w:tcBorders>
            <w:vAlign w:val="center"/>
          </w:tcPr>
          <w:p w:rsidR="00B26B0E" w:rsidRPr="000F0AED" w:rsidRDefault="00B26B0E" w:rsidP="00EE2719">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rPr>
                <w:sz w:val="20"/>
                <w:lang w:val="ro-RO"/>
              </w:rPr>
            </w:pPr>
            <w:r w:rsidRPr="000F0AED">
              <w:rPr>
                <w:b/>
                <w:sz w:val="20"/>
                <w:lang w:val="ro-RO"/>
              </w:rPr>
              <w:t>Ref.2:</w:t>
            </w:r>
            <w:r w:rsidRPr="000F0AED">
              <w:rPr>
                <w:sz w:val="20"/>
                <w:lang w:val="ro-RO"/>
              </w:rPr>
              <w:t xml:space="preserve"> Comisia dezvoltă activităţi de stabilire de repere calitative şi cantitative (benchmarking) prin comparaţie cu alte universităţi din ţară şi străinătate pentru evaluarea</w:t>
            </w:r>
            <w:r w:rsidRPr="000F0AED">
              <w:rPr>
                <w:lang w:val="ro-RO"/>
              </w:rPr>
              <w:t xml:space="preserve"> </w:t>
            </w:r>
            <w:r w:rsidRPr="000F0AED">
              <w:rPr>
                <w:sz w:val="20"/>
                <w:lang w:val="ro-RO"/>
              </w:rPr>
              <w:t>şi monitorizarea calităţii</w:t>
            </w:r>
          </w:p>
        </w:tc>
        <w:tc>
          <w:tcPr>
            <w:tcW w:w="5721" w:type="dxa"/>
            <w:tcBorders>
              <w:right w:val="double" w:sz="4" w:space="0" w:color="auto"/>
            </w:tcBorders>
            <w:vAlign w:val="center"/>
          </w:tcPr>
          <w:p w:rsidR="00B26B0E" w:rsidRPr="009636F3" w:rsidRDefault="00B26B0E" w:rsidP="002433BE">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8166C9">
            <w:pPr>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vAlign w:val="center"/>
          </w:tcPr>
          <w:p w:rsidR="00B26B0E" w:rsidRPr="00615F0B" w:rsidRDefault="00B26B0E" w:rsidP="009636F3">
            <w:pPr>
              <w:pStyle w:val="Style12"/>
              <w:widowControl/>
              <w:jc w:val="both"/>
              <w:rPr>
                <w:color w:val="FF0000"/>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lang w:val="ro-RO"/>
              </w:rPr>
            </w:pPr>
            <w:r w:rsidRPr="000F0AED">
              <w:rPr>
                <w:b/>
                <w:lang w:val="ro-RO"/>
              </w:rPr>
              <w:t>2</w:t>
            </w:r>
            <w:r w:rsidRPr="000F0AED">
              <w:rPr>
                <w:b/>
                <w:sz w:val="20"/>
                <w:lang w:val="ro-RO"/>
              </w:rPr>
              <w:t>. Politici şi strategii pentru asigurarea calităţii</w:t>
            </w:r>
          </w:p>
        </w:tc>
        <w:tc>
          <w:tcPr>
            <w:tcW w:w="4680" w:type="dxa"/>
            <w:gridSpan w:val="2"/>
          </w:tcPr>
          <w:p w:rsidR="00B26B0E" w:rsidRPr="000F0AED" w:rsidRDefault="00B26B0E" w:rsidP="004749AA">
            <w:pPr>
              <w:rPr>
                <w:sz w:val="20"/>
                <w:lang w:val="ro-RO"/>
              </w:rPr>
            </w:pPr>
            <w:r w:rsidRPr="000F0AED">
              <w:rPr>
                <w:b/>
                <w:sz w:val="20"/>
                <w:lang w:val="ro-RO"/>
              </w:rPr>
              <w:t>Min:</w:t>
            </w:r>
            <w:r w:rsidRPr="000F0AED">
              <w:rPr>
                <w:sz w:val="20"/>
                <w:lang w:val="ro-RO"/>
              </w:rPr>
              <w:t xml:space="preserve"> Există un program de politici ale universităţii centrate pe calitate şi sunt precizate mijloacele de realizare.</w:t>
            </w:r>
          </w:p>
        </w:tc>
        <w:tc>
          <w:tcPr>
            <w:tcW w:w="5721" w:type="dxa"/>
            <w:tcBorders>
              <w:right w:val="double" w:sz="4" w:space="0" w:color="auto"/>
            </w:tcBorders>
            <w:vAlign w:val="center"/>
          </w:tcPr>
          <w:p w:rsidR="00B26B0E" w:rsidRPr="000812AF" w:rsidRDefault="00B26B0E" w:rsidP="005318E1">
            <w:pPr>
              <w:pStyle w:val="Style12"/>
              <w:widowControl/>
              <w:jc w:val="both"/>
              <w:rPr>
                <w:color w:val="000000" w:themeColor="text1"/>
                <w:sz w:val="20"/>
                <w:szCs w:val="20"/>
              </w:rPr>
            </w:pPr>
          </w:p>
        </w:tc>
      </w:tr>
      <w:tr w:rsidR="00B26B0E" w:rsidRPr="000C610D"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lang w:val="ro-RO"/>
              </w:rPr>
            </w:pPr>
          </w:p>
        </w:tc>
        <w:tc>
          <w:tcPr>
            <w:tcW w:w="4680" w:type="dxa"/>
            <w:gridSpan w:val="2"/>
          </w:tcPr>
          <w:p w:rsidR="00B26B0E" w:rsidRPr="000F0AED" w:rsidRDefault="00B26B0E" w:rsidP="004749AA">
            <w:pPr>
              <w:rPr>
                <w:sz w:val="20"/>
                <w:lang w:val="ro-RO"/>
              </w:rPr>
            </w:pPr>
            <w:r w:rsidRPr="000F0AED">
              <w:rPr>
                <w:b/>
                <w:sz w:val="20"/>
                <w:lang w:val="ro-RO"/>
              </w:rPr>
              <w:t>Ref.1:</w:t>
            </w:r>
            <w:r w:rsidRPr="000F0AED">
              <w:rPr>
                <w:sz w:val="20"/>
                <w:lang w:val="ro-RO"/>
              </w:rPr>
              <w:t xml:space="preserve"> Fiecărei politici îi corespund strategii de realizare cu prevederi şi termene concrete</w:t>
            </w:r>
          </w:p>
        </w:tc>
        <w:tc>
          <w:tcPr>
            <w:tcW w:w="5721" w:type="dxa"/>
            <w:tcBorders>
              <w:right w:val="double" w:sz="4" w:space="0" w:color="auto"/>
            </w:tcBorders>
            <w:vAlign w:val="center"/>
          </w:tcPr>
          <w:p w:rsidR="00B26B0E" w:rsidRPr="000F0AED" w:rsidRDefault="00B26B0E" w:rsidP="005318E1">
            <w:pPr>
              <w:pStyle w:val="Style12"/>
              <w:widowControl/>
              <w:jc w:val="both"/>
              <w:rPr>
                <w:color w:val="000000"/>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lang w:val="ro-RO"/>
              </w:rPr>
            </w:pPr>
          </w:p>
        </w:tc>
        <w:tc>
          <w:tcPr>
            <w:tcW w:w="4680" w:type="dxa"/>
            <w:gridSpan w:val="2"/>
          </w:tcPr>
          <w:p w:rsidR="00B26B0E" w:rsidRPr="000F0AED" w:rsidRDefault="00B26B0E" w:rsidP="004749AA">
            <w:pPr>
              <w:rPr>
                <w:sz w:val="20"/>
                <w:lang w:val="ro-RO"/>
              </w:rPr>
            </w:pPr>
            <w:r w:rsidRPr="000F0AED">
              <w:rPr>
                <w:b/>
                <w:sz w:val="20"/>
                <w:lang w:val="ro-RO"/>
              </w:rPr>
              <w:t>Ref.2:</w:t>
            </w:r>
            <w:r w:rsidRPr="000F0AED">
              <w:rPr>
                <w:sz w:val="20"/>
                <w:lang w:val="ro-RO"/>
              </w:rPr>
              <w:t xml:space="preserve"> Politicile şi strategiile sunt activate în fiecare compartiment şi stimulează participarea fiecărui membru al corpului didactic şi de cercetare, precum şi a studenţilor</w:t>
            </w:r>
          </w:p>
        </w:tc>
        <w:tc>
          <w:tcPr>
            <w:tcW w:w="5721" w:type="dxa"/>
            <w:tcBorders>
              <w:right w:val="double" w:sz="4" w:space="0" w:color="auto"/>
            </w:tcBorders>
            <w:vAlign w:val="center"/>
          </w:tcPr>
          <w:p w:rsidR="00B26B0E" w:rsidRPr="000F0AED" w:rsidRDefault="00B26B0E" w:rsidP="005318E1">
            <w:pPr>
              <w:pStyle w:val="Style12"/>
              <w:widowControl/>
              <w:jc w:val="both"/>
              <w:rPr>
                <w:color w:val="000000"/>
                <w:sz w:val="20"/>
                <w:szCs w:val="20"/>
              </w:rPr>
            </w:pPr>
          </w:p>
        </w:tc>
      </w:tr>
      <w:tr w:rsidR="00B26B0E" w:rsidRPr="00B37129" w:rsidTr="00B26B0E">
        <w:tc>
          <w:tcPr>
            <w:tcW w:w="1800" w:type="dxa"/>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lang w:val="ro-RO"/>
              </w:rPr>
            </w:pPr>
          </w:p>
        </w:tc>
        <w:tc>
          <w:tcPr>
            <w:tcW w:w="4680" w:type="dxa"/>
            <w:gridSpan w:val="2"/>
          </w:tcPr>
          <w:p w:rsidR="00B26B0E" w:rsidRPr="000F0AED" w:rsidRDefault="00B26B0E" w:rsidP="008166C9">
            <w:pPr>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vAlign w:val="center"/>
          </w:tcPr>
          <w:p w:rsidR="00B26B0E" w:rsidRPr="00615F0B" w:rsidRDefault="00B26B0E" w:rsidP="000812AF">
            <w:pPr>
              <w:pStyle w:val="Style12"/>
              <w:widowControl/>
              <w:jc w:val="both"/>
              <w:rPr>
                <w:color w:val="FF0000"/>
                <w:sz w:val="20"/>
                <w:szCs w:val="20"/>
              </w:rPr>
            </w:pPr>
          </w:p>
        </w:tc>
      </w:tr>
      <w:tr w:rsidR="00B26B0E" w:rsidRPr="000F0AED" w:rsidTr="00B26B0E">
        <w:trPr>
          <w:trHeight w:val="681"/>
        </w:trPr>
        <w:tc>
          <w:tcPr>
            <w:tcW w:w="1800" w:type="dxa"/>
            <w:vMerge w:val="restart"/>
            <w:tcBorders>
              <w:left w:val="double" w:sz="4" w:space="0" w:color="auto"/>
            </w:tcBorders>
            <w:vAlign w:val="center"/>
          </w:tcPr>
          <w:p w:rsidR="00B26B0E" w:rsidRPr="000F0AED" w:rsidRDefault="00B26B0E" w:rsidP="004749AA">
            <w:pPr>
              <w:ind w:left="-120" w:right="-108"/>
              <w:rPr>
                <w:b/>
                <w:i/>
                <w:caps/>
                <w:sz w:val="20"/>
                <w:lang w:val="ro-RO"/>
              </w:rPr>
            </w:pPr>
            <w:r w:rsidRPr="000F0AED">
              <w:rPr>
                <w:b/>
                <w:i/>
                <w:caps/>
                <w:sz w:val="20"/>
                <w:lang w:val="ro-RO"/>
              </w:rPr>
              <w:t xml:space="preserve">C.2 – Proceduri privind iniţierea, monitorizarea şi revizuirea </w:t>
            </w:r>
            <w:r w:rsidRPr="000F0AED">
              <w:rPr>
                <w:b/>
                <w:i/>
                <w:caps/>
                <w:sz w:val="20"/>
                <w:lang w:val="ro-RO"/>
              </w:rPr>
              <w:lastRenderedPageBreak/>
              <w:t>periodică a programelor şi activităţilor desfăşurate</w:t>
            </w:r>
          </w:p>
        </w:tc>
        <w:tc>
          <w:tcPr>
            <w:tcW w:w="12801" w:type="dxa"/>
            <w:gridSpan w:val="5"/>
            <w:tcBorders>
              <w:right w:val="double" w:sz="4" w:space="0" w:color="auto"/>
            </w:tcBorders>
            <w:vAlign w:val="center"/>
          </w:tcPr>
          <w:p w:rsidR="00B26B0E" w:rsidRPr="000F0AED" w:rsidRDefault="00B26B0E" w:rsidP="004749AA">
            <w:pPr>
              <w:jc w:val="center"/>
              <w:rPr>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tcPr>
          <w:p w:rsidR="00B26B0E" w:rsidRPr="000F0AED" w:rsidRDefault="00B26B0E" w:rsidP="004749AA">
            <w:pPr>
              <w:rPr>
                <w:lang w:val="ro-RO"/>
              </w:rPr>
            </w:pPr>
            <w:r w:rsidRPr="000F0AED">
              <w:rPr>
                <w:b/>
                <w:sz w:val="20"/>
                <w:lang w:val="ro-RO"/>
              </w:rPr>
              <w:t>1</w:t>
            </w:r>
            <w:r w:rsidRPr="000F0AED">
              <w:rPr>
                <w:lang w:val="ro-RO"/>
              </w:rPr>
              <w:t xml:space="preserve">. </w:t>
            </w:r>
            <w:r w:rsidRPr="000F0AED">
              <w:rPr>
                <w:b/>
                <w:sz w:val="20"/>
                <w:lang w:val="ro-RO"/>
              </w:rPr>
              <w:t xml:space="preserve">Existenţa şi aplicarea regulamentului privitor </w:t>
            </w:r>
            <w:r w:rsidRPr="000F0AED">
              <w:rPr>
                <w:b/>
                <w:sz w:val="20"/>
                <w:lang w:val="ro-RO"/>
              </w:rPr>
              <w:lastRenderedPageBreak/>
              <w:t>la iniţierea, aprobarea, monitorizarea şi evaluarea periodică a programelor de studiu</w:t>
            </w:r>
          </w:p>
        </w:tc>
        <w:tc>
          <w:tcPr>
            <w:tcW w:w="4680" w:type="dxa"/>
            <w:gridSpan w:val="2"/>
          </w:tcPr>
          <w:p w:rsidR="00B26B0E" w:rsidRPr="000F0AED" w:rsidRDefault="00B26B0E" w:rsidP="004749AA">
            <w:pPr>
              <w:jc w:val="both"/>
              <w:rPr>
                <w:sz w:val="20"/>
                <w:lang w:val="ro-RO"/>
              </w:rPr>
            </w:pPr>
            <w:r w:rsidRPr="000F0AED">
              <w:rPr>
                <w:b/>
                <w:sz w:val="20"/>
                <w:lang w:val="ro-RO"/>
              </w:rPr>
              <w:lastRenderedPageBreak/>
              <w:t>Min:</w:t>
            </w:r>
            <w:r w:rsidRPr="000F0AED">
              <w:rPr>
                <w:sz w:val="20"/>
                <w:lang w:val="ro-RO"/>
              </w:rPr>
              <w:tab/>
              <w:t>Regulamentul există şi se aplică.</w:t>
            </w:r>
          </w:p>
          <w:p w:rsidR="00B26B0E" w:rsidRPr="000F0AED" w:rsidRDefault="00B26B0E" w:rsidP="004749AA">
            <w:pPr>
              <w:jc w:val="both"/>
              <w:rPr>
                <w:lang w:val="ro-RO"/>
              </w:rPr>
            </w:pPr>
          </w:p>
        </w:tc>
        <w:tc>
          <w:tcPr>
            <w:tcW w:w="5721" w:type="dxa"/>
            <w:tcBorders>
              <w:right w:val="double" w:sz="4" w:space="0" w:color="auto"/>
            </w:tcBorders>
            <w:vAlign w:val="center"/>
          </w:tcPr>
          <w:p w:rsidR="00B26B0E" w:rsidRPr="000C610D" w:rsidRDefault="00B26B0E" w:rsidP="00E56611">
            <w:pPr>
              <w:overflowPunct/>
              <w:jc w:val="both"/>
              <w:textAlignment w:val="auto"/>
              <w:rPr>
                <w:rFonts w:ascii="TimesNewRomanPSMT" w:eastAsiaTheme="minorHAnsi" w:hAnsi="TimesNewRomanPSMT" w:cs="TimesNewRomanPSMT"/>
                <w:sz w:val="23"/>
                <w:szCs w:val="23"/>
                <w:lang w:val="ro-RO" w:eastAsia="en-US"/>
              </w:rPr>
            </w:pPr>
          </w:p>
        </w:tc>
      </w:tr>
      <w:tr w:rsidR="00B26B0E" w:rsidRPr="00B37129" w:rsidTr="00B26B0E">
        <w:trPr>
          <w:trHeight w:val="1352"/>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w:t>
            </w:r>
            <w:r w:rsidRPr="000F0AED">
              <w:rPr>
                <w:sz w:val="20"/>
                <w:lang w:val="ro-RO"/>
              </w:rPr>
              <w:tab/>
              <w:t xml:space="preserve">Regulamentul este asociat cu un sistem de monitorizare a programelor de studiu,  pe bază de informaţii şi date. </w:t>
            </w:r>
          </w:p>
        </w:tc>
        <w:tc>
          <w:tcPr>
            <w:tcW w:w="5721" w:type="dxa"/>
            <w:tcBorders>
              <w:right w:val="double" w:sz="4" w:space="0" w:color="auto"/>
            </w:tcBorders>
            <w:vAlign w:val="center"/>
          </w:tcPr>
          <w:p w:rsidR="00B26B0E" w:rsidRPr="00472FB0" w:rsidRDefault="00B26B0E" w:rsidP="00E56611">
            <w:pPr>
              <w:pStyle w:val="Style12"/>
              <w:widowControl/>
              <w:ind w:firstLine="282"/>
              <w:jc w:val="both"/>
              <w:rPr>
                <w:color w:val="00B050"/>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2:</w:t>
            </w:r>
            <w:r w:rsidRPr="000F0AED">
              <w:rPr>
                <w:sz w:val="20"/>
                <w:lang w:val="ro-RO"/>
              </w:rPr>
              <w:tab/>
              <w:t>Regulamentul şi monitorizarea sunt asociate cu evaluări periodice, cel puţin anuale, ale calităţii pe fiecare program de studiu şi pe instituţie</w:t>
            </w:r>
          </w:p>
        </w:tc>
        <w:tc>
          <w:tcPr>
            <w:tcW w:w="5721" w:type="dxa"/>
            <w:tcBorders>
              <w:right w:val="double" w:sz="4" w:space="0" w:color="auto"/>
            </w:tcBorders>
            <w:vAlign w:val="center"/>
          </w:tcPr>
          <w:p w:rsidR="00B26B0E" w:rsidRPr="00E56611" w:rsidRDefault="00B26B0E" w:rsidP="00E93B07">
            <w:pPr>
              <w:pStyle w:val="Style12"/>
              <w:widowControl/>
              <w:jc w:val="both"/>
              <w:rPr>
                <w:color w:val="000000" w:themeColor="text1"/>
                <w:sz w:val="20"/>
                <w:szCs w:val="20"/>
              </w:rPr>
            </w:pPr>
          </w:p>
        </w:tc>
      </w:tr>
      <w:tr w:rsidR="00B26B0E" w:rsidRPr="00B37129" w:rsidTr="00B26B0E">
        <w:trPr>
          <w:trHeight w:val="1035"/>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7712F4">
            <w:pPr>
              <w:jc w:val="both"/>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vAlign w:val="center"/>
          </w:tcPr>
          <w:p w:rsidR="00B26B0E" w:rsidRPr="00472FB0" w:rsidRDefault="00B26B0E" w:rsidP="00CF32E2">
            <w:pPr>
              <w:jc w:val="both"/>
              <w:rPr>
                <w:color w:val="FF0000"/>
                <w:sz w:val="20"/>
                <w:lang w:val="ro-RO"/>
              </w:rPr>
            </w:pPr>
          </w:p>
        </w:tc>
      </w:tr>
      <w:tr w:rsidR="00B26B0E" w:rsidRPr="00B37129" w:rsidTr="00B26B0E">
        <w:trPr>
          <w:trHeight w:val="837"/>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2. Corespondenţa dintre diplome şi calificări</w:t>
            </w:r>
            <w:r>
              <w:rPr>
                <w:b/>
                <w:sz w:val="20"/>
                <w:lang w:val="ro-RO"/>
              </w:rPr>
              <w:t xml:space="preserve"> </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Programele de studiu şi diplomele sunt elaborate şi emise în funcţie de cerinţele calificării universitare.</w:t>
            </w:r>
          </w:p>
        </w:tc>
        <w:tc>
          <w:tcPr>
            <w:tcW w:w="5721" w:type="dxa"/>
            <w:tcBorders>
              <w:right w:val="double" w:sz="4" w:space="0" w:color="auto"/>
            </w:tcBorders>
            <w:vAlign w:val="center"/>
          </w:tcPr>
          <w:p w:rsidR="00B26B0E" w:rsidRPr="000F0AED" w:rsidRDefault="00B26B0E" w:rsidP="008C7175">
            <w:pPr>
              <w:pStyle w:val="Style12"/>
              <w:widowControl/>
              <w:jc w:val="both"/>
              <w:rPr>
                <w:color w:val="000000"/>
                <w:sz w:val="20"/>
                <w:szCs w:val="20"/>
              </w:rPr>
            </w:pPr>
          </w:p>
        </w:tc>
      </w:tr>
      <w:tr w:rsidR="00B26B0E" w:rsidRPr="000C610D" w:rsidTr="00B26B0E">
        <w:trPr>
          <w:trHeight w:val="817"/>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Programele de studii sunt revizuite periodic pentru a corespunde dinamicii pieţei calificărilor universitare şi profesionale.</w:t>
            </w:r>
          </w:p>
        </w:tc>
        <w:tc>
          <w:tcPr>
            <w:tcW w:w="5721" w:type="dxa"/>
            <w:tcBorders>
              <w:right w:val="double" w:sz="4" w:space="0" w:color="auto"/>
            </w:tcBorders>
            <w:vAlign w:val="center"/>
          </w:tcPr>
          <w:p w:rsidR="00B26B0E" w:rsidRPr="00097D56" w:rsidRDefault="00B26B0E" w:rsidP="00097D56">
            <w:pPr>
              <w:pStyle w:val="Style12"/>
              <w:widowControl/>
              <w:ind w:firstLine="462"/>
              <w:jc w:val="both"/>
              <w:rPr>
                <w:color w:val="000000" w:themeColor="text1"/>
                <w:sz w:val="20"/>
                <w:szCs w:val="20"/>
              </w:rPr>
            </w:pPr>
          </w:p>
        </w:tc>
      </w:tr>
      <w:tr w:rsidR="00B26B0E" w:rsidRPr="00B37129" w:rsidTr="00B26B0E">
        <w:trPr>
          <w:trHeight w:val="1252"/>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2:</w:t>
            </w:r>
            <w:r w:rsidRPr="000F0AED">
              <w:rPr>
                <w:b/>
                <w:sz w:val="20"/>
                <w:lang w:val="ro-RO"/>
              </w:rPr>
              <w:tab/>
            </w:r>
            <w:r w:rsidRPr="000F0AED">
              <w:rPr>
                <w:sz w:val="20"/>
                <w:lang w:val="ro-RO"/>
              </w:rPr>
              <w:t>Programele de studii şi diplomele sunt revizuite prin comparaţie europeană şi internaţională pe baza unui set de nivele profesionale de reper (benchmarks).</w:t>
            </w:r>
          </w:p>
        </w:tc>
        <w:tc>
          <w:tcPr>
            <w:tcW w:w="5721" w:type="dxa"/>
            <w:tcBorders>
              <w:right w:val="double" w:sz="4" w:space="0" w:color="auto"/>
            </w:tcBorders>
            <w:vAlign w:val="center"/>
          </w:tcPr>
          <w:p w:rsidR="00B26B0E" w:rsidRPr="000F0AED" w:rsidRDefault="00B26B0E" w:rsidP="00472FB0">
            <w:pPr>
              <w:overflowPunct/>
              <w:jc w:val="both"/>
              <w:textAlignment w:val="auto"/>
              <w:rPr>
                <w:color w:val="000000"/>
                <w:sz w:val="20"/>
                <w:lang w:val="ro-RO"/>
              </w:rPr>
            </w:pPr>
          </w:p>
        </w:tc>
      </w:tr>
      <w:tr w:rsidR="00B26B0E" w:rsidRPr="00B37129" w:rsidTr="00B26B0E">
        <w:trPr>
          <w:trHeight w:val="751"/>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7712F4">
            <w:pPr>
              <w:jc w:val="both"/>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vAlign w:val="center"/>
          </w:tcPr>
          <w:p w:rsidR="00B26B0E" w:rsidRPr="00472FB0" w:rsidRDefault="00B26B0E" w:rsidP="00472FB0">
            <w:pPr>
              <w:pStyle w:val="Style12"/>
              <w:widowControl/>
              <w:ind w:firstLine="462"/>
              <w:jc w:val="both"/>
              <w:rPr>
                <w:color w:val="FF0000"/>
                <w:sz w:val="20"/>
                <w:szCs w:val="20"/>
              </w:rPr>
            </w:pPr>
          </w:p>
        </w:tc>
      </w:tr>
      <w:tr w:rsidR="00B26B0E" w:rsidRPr="000F0AED" w:rsidTr="00B26B0E">
        <w:trPr>
          <w:trHeight w:val="549"/>
        </w:trPr>
        <w:tc>
          <w:tcPr>
            <w:tcW w:w="1800" w:type="dxa"/>
            <w:vMerge w:val="restart"/>
            <w:tcBorders>
              <w:left w:val="double" w:sz="4" w:space="0" w:color="auto"/>
            </w:tcBorders>
            <w:vAlign w:val="center"/>
          </w:tcPr>
          <w:p w:rsidR="00B26B0E" w:rsidRPr="000F0AED" w:rsidRDefault="00B26B0E" w:rsidP="004749AA">
            <w:pPr>
              <w:rPr>
                <w:lang w:val="ro-RO"/>
              </w:rPr>
            </w:pPr>
            <w:r w:rsidRPr="000F0AED">
              <w:rPr>
                <w:b/>
                <w:i/>
                <w:caps/>
                <w:sz w:val="20"/>
                <w:lang w:val="ro-RO"/>
              </w:rPr>
              <w:t>C.3 – Proceduri obiective şi transparente de evaluare a rezultatelor învăţării</w:t>
            </w:r>
          </w:p>
        </w:tc>
        <w:tc>
          <w:tcPr>
            <w:tcW w:w="12801" w:type="dxa"/>
            <w:gridSpan w:val="5"/>
            <w:tcBorders>
              <w:right w:val="double" w:sz="4" w:space="0" w:color="auto"/>
            </w:tcBorders>
            <w:vAlign w:val="center"/>
          </w:tcPr>
          <w:p w:rsidR="00B26B0E" w:rsidRPr="000F0AED" w:rsidRDefault="00B26B0E" w:rsidP="004749AA">
            <w:pPr>
              <w:jc w:val="center"/>
              <w:rPr>
                <w:lang w:val="ro-RO"/>
              </w:rPr>
            </w:pPr>
            <w:r w:rsidRPr="000F0AED">
              <w:rPr>
                <w:i/>
                <w:caps/>
                <w:sz w:val="20"/>
                <w:lang w:val="ro-RO"/>
              </w:rPr>
              <w:t>s.C.3.1. Evaluarea studenţilor</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lang w:val="ro-RO"/>
              </w:rPr>
              <w:t>1</w:t>
            </w:r>
            <w:r w:rsidRPr="000F0AED">
              <w:rPr>
                <w:b/>
                <w:sz w:val="20"/>
                <w:lang w:val="ro-RO"/>
              </w:rPr>
              <w:t>. Universitatea are un regulament privind examinarea şi notarea studenţilor care este aplicat în mod riguros şi consecvent</w:t>
            </w:r>
          </w:p>
          <w:p w:rsidR="00B26B0E" w:rsidRPr="000F0AED" w:rsidRDefault="00B26B0E" w:rsidP="004749AA">
            <w:pPr>
              <w:rPr>
                <w:lang w:val="ro-RO"/>
              </w:rPr>
            </w:pPr>
          </w:p>
        </w:tc>
        <w:tc>
          <w:tcPr>
            <w:tcW w:w="4680" w:type="dxa"/>
            <w:gridSpan w:val="2"/>
          </w:tcPr>
          <w:p w:rsidR="00B26B0E" w:rsidRPr="000F0AED" w:rsidRDefault="00B26B0E" w:rsidP="004749AA">
            <w:pPr>
              <w:jc w:val="both"/>
              <w:rPr>
                <w:b/>
                <w:sz w:val="20"/>
                <w:lang w:val="ro-RO"/>
              </w:rPr>
            </w:pPr>
          </w:p>
          <w:p w:rsidR="00B26B0E" w:rsidRPr="000F0AED" w:rsidRDefault="00B26B0E" w:rsidP="004749AA">
            <w:pPr>
              <w:jc w:val="both"/>
              <w:rPr>
                <w:sz w:val="20"/>
                <w:lang w:val="ro-RO"/>
              </w:rPr>
            </w:pPr>
            <w:r w:rsidRPr="000F0AED">
              <w:rPr>
                <w:b/>
                <w:sz w:val="20"/>
                <w:lang w:val="ro-RO"/>
              </w:rPr>
              <w:t>Min:</w:t>
            </w:r>
            <w:r w:rsidRPr="000F0AED">
              <w:rPr>
                <w:sz w:val="20"/>
                <w:lang w:val="ro-RO"/>
              </w:rPr>
              <w:tab/>
              <w:t>Există un astfel de regulament precum şi proceduri specifice de cunoaştere şi aplicare consecventă de către titularii de cursuri şi studenţi. La examinare participă, pe lângă titularul cursului, cel puţin încă un alt cadru didactic de specialitate.</w:t>
            </w:r>
          </w:p>
        </w:tc>
        <w:tc>
          <w:tcPr>
            <w:tcW w:w="5721" w:type="dxa"/>
            <w:tcBorders>
              <w:right w:val="double" w:sz="4" w:space="0" w:color="auto"/>
            </w:tcBorders>
            <w:vAlign w:val="center"/>
          </w:tcPr>
          <w:p w:rsidR="00B26B0E" w:rsidRPr="000F0AED" w:rsidRDefault="00B26B0E" w:rsidP="00AB2C7A">
            <w:pPr>
              <w:overflowPunct/>
              <w:jc w:val="both"/>
              <w:textAlignment w:val="auto"/>
              <w:rPr>
                <w:iCs/>
                <w:color w:val="000000"/>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w:t>
            </w:r>
            <w:r w:rsidRPr="000F0AED">
              <w:rPr>
                <w:sz w:val="20"/>
                <w:lang w:val="ro-RO"/>
              </w:rPr>
              <w:tab/>
              <w:t xml:space="preserve">Regulamentul există, împreună cu </w:t>
            </w:r>
            <w:r w:rsidRPr="000F0AED">
              <w:rPr>
                <w:sz w:val="20"/>
                <w:lang w:val="ro-RO"/>
              </w:rPr>
              <w:lastRenderedPageBreak/>
              <w:t>procedee/tehnici/metode detaliate de aplicare sub forma unui pachet de tehnici/metode de examinare a studenţilor care sunt aduse în mod consecvent  la cunoştinţa tuturor celor implicaţi.</w:t>
            </w:r>
          </w:p>
        </w:tc>
        <w:tc>
          <w:tcPr>
            <w:tcW w:w="5721" w:type="dxa"/>
            <w:tcBorders>
              <w:right w:val="double" w:sz="4" w:space="0" w:color="auto"/>
            </w:tcBorders>
            <w:vAlign w:val="center"/>
          </w:tcPr>
          <w:p w:rsidR="00B26B0E" w:rsidRPr="000F0AED" w:rsidRDefault="00B26B0E" w:rsidP="00AC46A5">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lang w:val="ro-RO"/>
              </w:rPr>
            </w:pPr>
          </w:p>
        </w:tc>
        <w:tc>
          <w:tcPr>
            <w:tcW w:w="4680" w:type="dxa"/>
            <w:gridSpan w:val="2"/>
          </w:tcPr>
          <w:p w:rsidR="00B26B0E" w:rsidRPr="000F0AED" w:rsidRDefault="00B26B0E" w:rsidP="004749AA">
            <w:pPr>
              <w:jc w:val="both"/>
              <w:rPr>
                <w:b/>
                <w:sz w:val="20"/>
                <w:lang w:val="ro-RO"/>
              </w:rPr>
            </w:pPr>
          </w:p>
          <w:p w:rsidR="00B26B0E" w:rsidRPr="000F0AED" w:rsidRDefault="00B26B0E" w:rsidP="004749AA">
            <w:pPr>
              <w:jc w:val="both"/>
              <w:rPr>
                <w:sz w:val="20"/>
                <w:lang w:val="ro-RO"/>
              </w:rPr>
            </w:pPr>
            <w:r w:rsidRPr="000F0AED">
              <w:rPr>
                <w:b/>
                <w:sz w:val="20"/>
                <w:lang w:val="ro-RO"/>
              </w:rPr>
              <w:t>Ref. 2:</w:t>
            </w:r>
            <w:r w:rsidRPr="000F0AED">
              <w:rPr>
                <w:sz w:val="20"/>
                <w:lang w:val="ro-RO"/>
              </w:rPr>
              <w:tab/>
              <w:t>Regulamentul şi pachetul de procedee/tehnici/metode de examinare sunt completate de un sistem în care la examinare participă şi un examinator extern (din în afara instituţiei)</w:t>
            </w:r>
          </w:p>
          <w:p w:rsidR="00B26B0E" w:rsidRPr="000F0AED" w:rsidRDefault="00B26B0E" w:rsidP="004749AA">
            <w:pPr>
              <w:jc w:val="both"/>
              <w:rPr>
                <w:sz w:val="20"/>
                <w:lang w:val="ro-RO"/>
              </w:rPr>
            </w:pPr>
          </w:p>
        </w:tc>
        <w:tc>
          <w:tcPr>
            <w:tcW w:w="5721" w:type="dxa"/>
            <w:tcBorders>
              <w:right w:val="double" w:sz="4" w:space="0" w:color="auto"/>
            </w:tcBorders>
            <w:vAlign w:val="center"/>
          </w:tcPr>
          <w:p w:rsidR="00B26B0E" w:rsidRPr="000F0AED" w:rsidRDefault="00B26B0E" w:rsidP="0063211C">
            <w:pPr>
              <w:pStyle w:val="Style12"/>
              <w:widowControl/>
              <w:jc w:val="both"/>
              <w:rPr>
                <w:sz w:val="20"/>
                <w:szCs w:val="20"/>
              </w:rPr>
            </w:pPr>
          </w:p>
        </w:tc>
      </w:tr>
      <w:tr w:rsidR="00B26B0E" w:rsidRPr="00B37129" w:rsidTr="00B26B0E">
        <w:trPr>
          <w:trHeight w:val="607"/>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lang w:val="ro-RO"/>
              </w:rPr>
            </w:pPr>
          </w:p>
        </w:tc>
        <w:tc>
          <w:tcPr>
            <w:tcW w:w="4680" w:type="dxa"/>
            <w:gridSpan w:val="2"/>
          </w:tcPr>
          <w:p w:rsidR="00B26B0E" w:rsidRPr="000F0AED" w:rsidRDefault="00B26B0E" w:rsidP="00AC46A5">
            <w:pPr>
              <w:jc w:val="both"/>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vAlign w:val="center"/>
          </w:tcPr>
          <w:p w:rsidR="00B26B0E" w:rsidRPr="008C7175" w:rsidRDefault="00B26B0E" w:rsidP="009A1AF3">
            <w:pPr>
              <w:pStyle w:val="Style12"/>
              <w:widowControl/>
              <w:rPr>
                <w:color w:val="FF0000"/>
                <w:sz w:val="20"/>
                <w:szCs w:val="20"/>
              </w:rPr>
            </w:pPr>
          </w:p>
        </w:tc>
      </w:tr>
      <w:tr w:rsidR="00B26B0E" w:rsidRPr="00B37129" w:rsidTr="00B26B0E">
        <w:trPr>
          <w:trHeight w:val="559"/>
        </w:trPr>
        <w:tc>
          <w:tcPr>
            <w:tcW w:w="1800" w:type="dxa"/>
            <w:vMerge w:val="restart"/>
            <w:tcBorders>
              <w:left w:val="double" w:sz="4" w:space="0" w:color="auto"/>
            </w:tcBorders>
            <w:vAlign w:val="center"/>
          </w:tcPr>
          <w:p w:rsidR="00B26B0E" w:rsidRPr="000F0AED" w:rsidRDefault="00B26B0E" w:rsidP="004749AA">
            <w:pPr>
              <w:rPr>
                <w:b/>
                <w:caps/>
                <w:sz w:val="20"/>
                <w:lang w:val="ro-RO"/>
              </w:rPr>
            </w:pPr>
            <w:r w:rsidRPr="000F0AED">
              <w:rPr>
                <w:b/>
                <w:bCs/>
                <w:i/>
                <w:iCs/>
                <w:caps/>
                <w:sz w:val="20"/>
                <w:lang w:val="ro-RO"/>
              </w:rPr>
              <w:t>C.4 – Proceduri de evaluare periodică a calităţii corpului profesoral</w:t>
            </w:r>
          </w:p>
        </w:tc>
        <w:tc>
          <w:tcPr>
            <w:tcW w:w="12801" w:type="dxa"/>
            <w:gridSpan w:val="5"/>
            <w:tcBorders>
              <w:right w:val="double" w:sz="4" w:space="0" w:color="auto"/>
            </w:tcBorders>
            <w:vAlign w:val="center"/>
          </w:tcPr>
          <w:p w:rsidR="00B26B0E" w:rsidRPr="000F0AED" w:rsidRDefault="00B26B0E" w:rsidP="004749AA">
            <w:pPr>
              <w:jc w:val="center"/>
              <w:rPr>
                <w:lang w:val="ro-RO"/>
              </w:rPr>
            </w:pPr>
            <w:r w:rsidRPr="000F0AED">
              <w:rPr>
                <w:i/>
                <w:caps/>
                <w:sz w:val="20"/>
                <w:lang w:val="ro-RO"/>
              </w:rPr>
              <w:t>s.C.4.1. Calitatea personalului didactic şi de cercetare</w:t>
            </w: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1. Raportul dintre numărul de cadre didactice şi studenţi</w:t>
            </w:r>
          </w:p>
        </w:tc>
        <w:tc>
          <w:tcPr>
            <w:tcW w:w="4680" w:type="dxa"/>
            <w:gridSpan w:val="2"/>
          </w:tcPr>
          <w:p w:rsidR="00B26B0E" w:rsidRPr="000F0AED" w:rsidRDefault="00B26B0E" w:rsidP="004749AA">
            <w:pPr>
              <w:rPr>
                <w:sz w:val="20"/>
                <w:lang w:val="ro-RO"/>
              </w:rPr>
            </w:pPr>
            <w:r w:rsidRPr="000F0AED">
              <w:rPr>
                <w:b/>
                <w:sz w:val="20"/>
                <w:lang w:val="ro-RO"/>
              </w:rPr>
              <w:t>Min:</w:t>
            </w:r>
            <w:r w:rsidRPr="000F0AED">
              <w:rPr>
                <w:sz w:val="20"/>
                <w:lang w:val="ro-RO"/>
              </w:rPr>
              <w:tab/>
              <w:t>În funcţie de specificul programului de studiu, universitatea stabileşte acel raport, pe care îl consideră ca optim pentru obiectivele şi nivelul propriu al calităţii academice, între numărul de cadre didactice titulare cu norma de bază în universitate şi numărul total de studenţi înmatriculaţi. În evaluarea calităţii se consideră că un cadru didactic are norma de bază  într-o singură universitate.</w:t>
            </w:r>
          </w:p>
        </w:tc>
        <w:tc>
          <w:tcPr>
            <w:tcW w:w="5721" w:type="dxa"/>
            <w:tcBorders>
              <w:right w:val="double" w:sz="4" w:space="0" w:color="auto"/>
            </w:tcBorders>
            <w:vAlign w:val="center"/>
          </w:tcPr>
          <w:p w:rsidR="00B26B0E" w:rsidRPr="008C7175" w:rsidRDefault="00B26B0E" w:rsidP="008C7175">
            <w:pPr>
              <w:pStyle w:val="Style12"/>
              <w:widowControl/>
              <w:ind w:firstLine="552"/>
              <w:jc w:val="both"/>
              <w:rPr>
                <w:color w:val="00B050"/>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Raportul optim dintre numărul de cadre didactice şi numărul de studenţi se fixează în funcţie de calitatea predării şi învăţării, dar şi în funcţie de calitatea cercetării.</w:t>
            </w:r>
          </w:p>
        </w:tc>
        <w:tc>
          <w:tcPr>
            <w:tcW w:w="5721" w:type="dxa"/>
            <w:tcBorders>
              <w:right w:val="double" w:sz="4" w:space="0" w:color="auto"/>
            </w:tcBorders>
          </w:tcPr>
          <w:p w:rsidR="00B26B0E" w:rsidRPr="000F0AED" w:rsidRDefault="00B26B0E" w:rsidP="001627BE">
            <w:pPr>
              <w:pStyle w:val="Style12"/>
              <w:widowControl/>
              <w:rPr>
                <w:sz w:val="20"/>
                <w:szCs w:val="20"/>
              </w:rPr>
            </w:pPr>
          </w:p>
        </w:tc>
      </w:tr>
      <w:tr w:rsidR="00B26B0E" w:rsidRPr="000F0AED"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2:</w:t>
            </w:r>
            <w:r w:rsidRPr="000F0AED">
              <w:rPr>
                <w:sz w:val="20"/>
                <w:lang w:val="ro-RO"/>
              </w:rPr>
              <w:tab/>
              <w:t>În stabilirea raportului sunt avute în vedere niveluri superioare ale calităţii predării, învăţării şi cercetării, prin comparaţie cu universităţi performante din ţară şi din străinătate. Sunt aplicate consecvent procedee de stabilire a unui set de nivele profesionale de reper („benchmarking„) şi sunt realizate comparaţii</w:t>
            </w:r>
          </w:p>
        </w:tc>
        <w:tc>
          <w:tcPr>
            <w:tcW w:w="5721" w:type="dxa"/>
            <w:tcBorders>
              <w:right w:val="double" w:sz="4" w:space="0" w:color="auto"/>
            </w:tcBorders>
            <w:vAlign w:val="center"/>
          </w:tcPr>
          <w:p w:rsidR="00B26B0E" w:rsidRPr="000F0AED" w:rsidRDefault="00B26B0E" w:rsidP="00A9701B">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F84967">
            <w:pPr>
              <w:jc w:val="both"/>
              <w:rPr>
                <w:b/>
                <w:sz w:val="20"/>
                <w:lang w:val="ro-RO"/>
              </w:rPr>
            </w:pPr>
            <w:r w:rsidRPr="000F0AED">
              <w:rPr>
                <w:b/>
                <w:sz w:val="20"/>
                <w:lang w:val="ro-RO"/>
              </w:rPr>
              <w:t>Ref.3: (se poate continua cu indicatori de performanta proprii instituției, la nivele superioare)</w:t>
            </w:r>
          </w:p>
        </w:tc>
        <w:tc>
          <w:tcPr>
            <w:tcW w:w="5721" w:type="dxa"/>
            <w:tcBorders>
              <w:right w:val="double" w:sz="4" w:space="0" w:color="auto"/>
            </w:tcBorders>
          </w:tcPr>
          <w:p w:rsidR="00B26B0E" w:rsidRPr="000F0AED" w:rsidRDefault="00B26B0E" w:rsidP="001627BE">
            <w:pPr>
              <w:pStyle w:val="Style12"/>
              <w:widowControl/>
              <w:rPr>
                <w:sz w:val="20"/>
                <w:szCs w:val="20"/>
              </w:rPr>
            </w:pPr>
          </w:p>
        </w:tc>
      </w:tr>
      <w:tr w:rsidR="00B26B0E" w:rsidRPr="000C610D"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2. Evaluarea colegială</w:t>
            </w:r>
          </w:p>
        </w:tc>
        <w:tc>
          <w:tcPr>
            <w:tcW w:w="4680" w:type="dxa"/>
            <w:gridSpan w:val="2"/>
          </w:tcPr>
          <w:p w:rsidR="00B26B0E" w:rsidRPr="000F0AED" w:rsidRDefault="00B26B0E" w:rsidP="00F84967">
            <w:pPr>
              <w:jc w:val="both"/>
              <w:rPr>
                <w:sz w:val="20"/>
                <w:lang w:val="ro-RO"/>
              </w:rPr>
            </w:pPr>
            <w:r w:rsidRPr="000F0AED">
              <w:rPr>
                <w:b/>
                <w:sz w:val="20"/>
                <w:lang w:val="ro-RO"/>
              </w:rPr>
              <w:t>Min.:</w:t>
            </w:r>
            <w:r w:rsidRPr="000F0AED">
              <w:rPr>
                <w:sz w:val="20"/>
                <w:lang w:val="ro-RO"/>
              </w:rPr>
              <w:tab/>
              <w:t>Evaluarea colegială este organizată periodic, fiind bazată pe criterii generale şi pe preferinţe colegiale.</w:t>
            </w:r>
          </w:p>
        </w:tc>
        <w:tc>
          <w:tcPr>
            <w:tcW w:w="5721" w:type="dxa"/>
            <w:tcBorders>
              <w:right w:val="double" w:sz="4" w:space="0" w:color="auto"/>
            </w:tcBorders>
            <w:vAlign w:val="center"/>
          </w:tcPr>
          <w:p w:rsidR="00B26B0E" w:rsidRPr="000F0AED" w:rsidRDefault="00B26B0E" w:rsidP="00F84967">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w:t>
            </w:r>
            <w:r w:rsidRPr="000F0AED">
              <w:rPr>
                <w:sz w:val="20"/>
                <w:lang w:val="ro-RO"/>
              </w:rPr>
              <w:tab/>
              <w:t>Evaluarea colegială este obligatorie şi periodică. Există, pentru fiecare catedră şi departament, o comisie de evaluare anuală a performanţelor didactice şi de cercetare ale fiecărui cadru didactic/cercetător şi un raport anual privind calitatea personalului didactic şi de cercetare</w:t>
            </w:r>
          </w:p>
        </w:tc>
        <w:tc>
          <w:tcPr>
            <w:tcW w:w="5721" w:type="dxa"/>
            <w:tcBorders>
              <w:right w:val="double" w:sz="4" w:space="0" w:color="auto"/>
            </w:tcBorders>
            <w:vAlign w:val="center"/>
          </w:tcPr>
          <w:p w:rsidR="00B26B0E" w:rsidRPr="000F0AED" w:rsidRDefault="00B26B0E" w:rsidP="00F84967">
            <w:pPr>
              <w:pStyle w:val="Style12"/>
              <w:rPr>
                <w:sz w:val="20"/>
              </w:rPr>
            </w:pPr>
          </w:p>
        </w:tc>
      </w:tr>
      <w:tr w:rsidR="00B26B0E" w:rsidRPr="000C610D"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Default="00B26B0E" w:rsidP="00F81E49">
            <w:pPr>
              <w:jc w:val="both"/>
              <w:rPr>
                <w:b/>
                <w:sz w:val="20"/>
                <w:lang w:val="ro-RO"/>
              </w:rPr>
            </w:pPr>
            <w:r w:rsidRPr="000F0AED">
              <w:rPr>
                <w:b/>
                <w:sz w:val="20"/>
                <w:lang w:val="ro-RO"/>
              </w:rPr>
              <w:t>Ref.2: (se poate continua cu indicatori de performanta proprii instituției, la nivele superioare)</w:t>
            </w:r>
          </w:p>
          <w:p w:rsidR="00B26B0E" w:rsidRDefault="00B26B0E" w:rsidP="00F81E49">
            <w:pPr>
              <w:jc w:val="both"/>
              <w:rPr>
                <w:b/>
                <w:sz w:val="20"/>
                <w:lang w:val="ro-RO"/>
              </w:rPr>
            </w:pPr>
          </w:p>
          <w:p w:rsidR="00B26B0E" w:rsidRPr="00B60C5C" w:rsidRDefault="00B26B0E" w:rsidP="00F81E49">
            <w:pPr>
              <w:jc w:val="both"/>
              <w:rPr>
                <w:sz w:val="20"/>
                <w:lang w:val="ro-RO"/>
              </w:rPr>
            </w:pPr>
            <w:r w:rsidRPr="00B60C5C">
              <w:rPr>
                <w:sz w:val="20"/>
                <w:lang w:val="ro-RO"/>
              </w:rPr>
              <w:t>Bazarea pe logica internă a mecanismului de peer - review</w:t>
            </w:r>
          </w:p>
        </w:tc>
        <w:tc>
          <w:tcPr>
            <w:tcW w:w="5721" w:type="dxa"/>
            <w:tcBorders>
              <w:right w:val="double" w:sz="4" w:space="0" w:color="auto"/>
            </w:tcBorders>
            <w:vAlign w:val="center"/>
          </w:tcPr>
          <w:p w:rsidR="00B26B0E" w:rsidRPr="00B60C5C" w:rsidRDefault="00B26B0E" w:rsidP="00B60C5C">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3. Evaluarea personalului didactic de către studenţi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Există un formular de evaluare de către studenţi a tuturor cadrelor didactice, aprobat de Senat, care se aplică opţional după fiecare ciclu semestrial de instruire şi ale cărui rezultate sunt confidenţiale, fiind accesibil doar decanului, rectorului şi persoanei evaluate.</w:t>
            </w:r>
          </w:p>
        </w:tc>
        <w:tc>
          <w:tcPr>
            <w:tcW w:w="5721" w:type="dxa"/>
            <w:tcBorders>
              <w:right w:val="double" w:sz="4" w:space="0" w:color="auto"/>
            </w:tcBorders>
            <w:vAlign w:val="center"/>
          </w:tcPr>
          <w:p w:rsidR="00B26B0E" w:rsidRPr="000F0AED" w:rsidRDefault="00B26B0E" w:rsidP="00C8564F">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Evaluarea de către studenţi este obligatorie. Rezultatele evaluării cadrelor didactice de către studenţi sunt discutate individual, prelucrate statistic, pe catedre, facultăţi şi universitate, şi analizate la nivel de facultate şi universitate în vederea transparenţei şi a formulării de politici privind calitatea instruirii</w:t>
            </w:r>
          </w:p>
        </w:tc>
        <w:tc>
          <w:tcPr>
            <w:tcW w:w="5721" w:type="dxa"/>
            <w:tcBorders>
              <w:right w:val="double" w:sz="4" w:space="0" w:color="auto"/>
            </w:tcBorders>
          </w:tcPr>
          <w:p w:rsidR="00B26B0E" w:rsidRPr="000F0AED" w:rsidRDefault="00B26B0E" w:rsidP="00633399">
            <w:pPr>
              <w:pStyle w:val="Style12"/>
              <w:widowControl/>
              <w:jc w:val="both"/>
              <w:rPr>
                <w:sz w:val="20"/>
                <w:szCs w:val="20"/>
              </w:rPr>
            </w:pPr>
          </w:p>
        </w:tc>
      </w:tr>
      <w:tr w:rsidR="00B26B0E" w:rsidRPr="000C610D" w:rsidTr="00B26B0E">
        <w:trPr>
          <w:trHeight w:val="1059"/>
        </w:trPr>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Default="00B26B0E" w:rsidP="00F81E49">
            <w:pPr>
              <w:jc w:val="both"/>
              <w:rPr>
                <w:b/>
                <w:sz w:val="20"/>
                <w:lang w:val="ro-RO"/>
              </w:rPr>
            </w:pPr>
            <w:r w:rsidRPr="000F0AED">
              <w:rPr>
                <w:b/>
                <w:sz w:val="20"/>
                <w:lang w:val="ro-RO"/>
              </w:rPr>
              <w:t>Ref.2: (se poate continua cu indicatori de performanta proprii instituției, la nivele superioare)</w:t>
            </w:r>
          </w:p>
          <w:p w:rsidR="00B26B0E" w:rsidRDefault="00B26B0E" w:rsidP="00F81E49">
            <w:pPr>
              <w:jc w:val="both"/>
              <w:rPr>
                <w:b/>
                <w:sz w:val="20"/>
                <w:lang w:val="ro-RO"/>
              </w:rPr>
            </w:pPr>
          </w:p>
          <w:p w:rsidR="00B26B0E" w:rsidRPr="00716755" w:rsidRDefault="00B26B0E" w:rsidP="00F81E49">
            <w:pPr>
              <w:jc w:val="both"/>
              <w:rPr>
                <w:sz w:val="20"/>
                <w:lang w:val="ro-RO"/>
              </w:rPr>
            </w:pPr>
            <w:r w:rsidRPr="00716755">
              <w:rPr>
                <w:sz w:val="20"/>
                <w:lang w:val="ro-RO"/>
              </w:rPr>
              <w:t xml:space="preserve">Diseminare de bune practici </w:t>
            </w:r>
          </w:p>
        </w:tc>
        <w:tc>
          <w:tcPr>
            <w:tcW w:w="5721" w:type="dxa"/>
            <w:tcBorders>
              <w:right w:val="double" w:sz="4" w:space="0" w:color="auto"/>
            </w:tcBorders>
            <w:vAlign w:val="center"/>
          </w:tcPr>
          <w:p w:rsidR="00B26B0E" w:rsidRPr="001549FF" w:rsidRDefault="00B26B0E" w:rsidP="001549FF">
            <w:pPr>
              <w:pStyle w:val="Style12"/>
              <w:widowControl/>
              <w:jc w:val="both"/>
              <w:rPr>
                <w:color w:val="000000" w:themeColor="text1"/>
                <w:sz w:val="20"/>
                <w:szCs w:val="20"/>
              </w:rPr>
            </w:pPr>
          </w:p>
        </w:tc>
      </w:tr>
      <w:tr w:rsidR="00B26B0E" w:rsidRPr="00B37129" w:rsidTr="00B26B0E">
        <w:trPr>
          <w:trHeight w:val="1825"/>
        </w:trPr>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4. Evaluarea de către managementul universităţii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Cadrul didactic se autoevaluează şi este evaluat anual de către şeful de catedră.</w:t>
            </w:r>
          </w:p>
        </w:tc>
        <w:tc>
          <w:tcPr>
            <w:tcW w:w="5721" w:type="dxa"/>
            <w:tcBorders>
              <w:right w:val="double" w:sz="4" w:space="0" w:color="auto"/>
            </w:tcBorders>
            <w:vAlign w:val="center"/>
          </w:tcPr>
          <w:p w:rsidR="00B26B0E" w:rsidRPr="000F0AED" w:rsidRDefault="00B26B0E" w:rsidP="00725089">
            <w:pPr>
              <w:pStyle w:val="Style12"/>
              <w:widowControl/>
              <w:jc w:val="both"/>
              <w:rPr>
                <w:sz w:val="20"/>
                <w:szCs w:val="20"/>
              </w:rPr>
            </w:pPr>
          </w:p>
        </w:tc>
      </w:tr>
      <w:tr w:rsidR="00B26B0E" w:rsidRPr="00B37129" w:rsidTr="00B26B0E">
        <w:trPr>
          <w:trHeight w:val="2105"/>
        </w:trPr>
        <w:tc>
          <w:tcPr>
            <w:tcW w:w="1800" w:type="dxa"/>
            <w:vMerge/>
            <w:tcBorders>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Universitatea dispune de un formular de evaluare anuală multicriterială a fiecărui cadru didactic şi de un sistem de clasificare a performanţelor în predare, cercetare şi servicii aduse instituţiei şi comunităţii. Promovarea personalului didactic depinde de rezultatele evaluării, în care sunt avute în vedere şi rezultatele evaluării colegiale şi ale celei făcute de studenţi</w:t>
            </w:r>
          </w:p>
        </w:tc>
        <w:tc>
          <w:tcPr>
            <w:tcW w:w="5721" w:type="dxa"/>
            <w:tcBorders>
              <w:right w:val="double" w:sz="4" w:space="0" w:color="auto"/>
            </w:tcBorders>
            <w:vAlign w:val="center"/>
          </w:tcPr>
          <w:p w:rsidR="00B26B0E" w:rsidRPr="000F0AED" w:rsidRDefault="00B26B0E" w:rsidP="00C8564F">
            <w:pPr>
              <w:pStyle w:val="Style12"/>
              <w:widowControl/>
              <w:jc w:val="both"/>
              <w:rPr>
                <w:sz w:val="20"/>
                <w:szCs w:val="20"/>
              </w:rPr>
            </w:pPr>
          </w:p>
        </w:tc>
      </w:tr>
      <w:tr w:rsidR="00B26B0E" w:rsidRPr="00B37129" w:rsidTr="00B26B0E">
        <w:trPr>
          <w:trHeight w:val="988"/>
        </w:trPr>
        <w:tc>
          <w:tcPr>
            <w:tcW w:w="1800" w:type="dxa"/>
            <w:tcBorders>
              <w:top w:val="single" w:sz="8" w:space="0" w:color="FFFFFF" w:themeColor="background1"/>
              <w:left w:val="double" w:sz="4" w:space="0" w:color="auto"/>
            </w:tcBorders>
          </w:tcPr>
          <w:p w:rsidR="00B26B0E" w:rsidRPr="000F0AED" w:rsidRDefault="00B26B0E" w:rsidP="004749AA">
            <w:pPr>
              <w:rPr>
                <w:caps/>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633399">
            <w:pPr>
              <w:jc w:val="both"/>
              <w:rPr>
                <w:b/>
                <w:sz w:val="20"/>
                <w:lang w:val="ro-RO"/>
              </w:rPr>
            </w:pPr>
            <w:r w:rsidRPr="000F0AED">
              <w:rPr>
                <w:b/>
                <w:sz w:val="20"/>
                <w:lang w:val="ro-RO"/>
              </w:rPr>
              <w:t>Ref.2: (se poate continua cu indicatori de performanta proprii instituției, la nivele superioare)</w:t>
            </w:r>
          </w:p>
        </w:tc>
        <w:tc>
          <w:tcPr>
            <w:tcW w:w="5721" w:type="dxa"/>
            <w:tcBorders>
              <w:right w:val="double" w:sz="4" w:space="0" w:color="auto"/>
            </w:tcBorders>
          </w:tcPr>
          <w:p w:rsidR="00B26B0E" w:rsidRPr="00716755" w:rsidRDefault="00B26B0E" w:rsidP="004A4EB9">
            <w:pPr>
              <w:pStyle w:val="Style12"/>
              <w:widowControl/>
              <w:jc w:val="both"/>
              <w:rPr>
                <w:color w:val="000000" w:themeColor="text1"/>
                <w:sz w:val="20"/>
                <w:szCs w:val="20"/>
              </w:rPr>
            </w:pPr>
          </w:p>
        </w:tc>
      </w:tr>
      <w:tr w:rsidR="00B26B0E" w:rsidRPr="00B37129" w:rsidTr="00B26B0E">
        <w:trPr>
          <w:trHeight w:val="331"/>
        </w:trPr>
        <w:tc>
          <w:tcPr>
            <w:tcW w:w="1800" w:type="dxa"/>
            <w:vMerge w:val="restart"/>
            <w:tcBorders>
              <w:left w:val="double" w:sz="4" w:space="0" w:color="auto"/>
            </w:tcBorders>
            <w:vAlign w:val="center"/>
          </w:tcPr>
          <w:p w:rsidR="00B26B0E" w:rsidRPr="000F0AED" w:rsidRDefault="00B26B0E" w:rsidP="004749AA">
            <w:pPr>
              <w:rPr>
                <w:b/>
                <w:i/>
                <w:caps/>
                <w:sz w:val="20"/>
                <w:lang w:val="ro-RO"/>
              </w:rPr>
            </w:pPr>
            <w:r w:rsidRPr="000F0AED">
              <w:rPr>
                <w:b/>
                <w:i/>
                <w:caps/>
                <w:sz w:val="20"/>
                <w:lang w:val="ro-RO"/>
              </w:rPr>
              <w:t>C.5 – Accesibilitatea resurselor adecvate învăţării</w:t>
            </w:r>
          </w:p>
        </w:tc>
        <w:tc>
          <w:tcPr>
            <w:tcW w:w="12801" w:type="dxa"/>
            <w:gridSpan w:val="5"/>
            <w:tcBorders>
              <w:right w:val="double" w:sz="4" w:space="0" w:color="auto"/>
            </w:tcBorders>
            <w:vAlign w:val="center"/>
          </w:tcPr>
          <w:p w:rsidR="00B26B0E" w:rsidRPr="000F0AED" w:rsidRDefault="00B26B0E" w:rsidP="004749AA">
            <w:pPr>
              <w:jc w:val="center"/>
              <w:rPr>
                <w:lang w:val="ro-RO"/>
              </w:rPr>
            </w:pPr>
            <w:r w:rsidRPr="000F0AED">
              <w:rPr>
                <w:i/>
                <w:caps/>
                <w:sz w:val="20"/>
                <w:lang w:val="ro-RO"/>
              </w:rPr>
              <w:t>s. C.5.1. Resurse de învăţare şi servicii studenţeşti</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1. Disponibilitatea resurselor de învăţare</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Universitatea asigură resurse de învăţare (manuale, tratate, referinţe bibliografice, crestomaţii, antologii etc.) pentru fiecare program de studiu în biblioteci, centre de resurse etc., în format clasic sau electronic şi gratuit. Biblioteca universităţii trebuie să dispună, pe lângă accesul electronic, de un număr corespunzător de volume din ţară şi străinătate şi de abonamente la principalele reviste de specialitate din ţară şi străinătate pentru fiecare disciplină care defineşte un program de studiu. Fiecare bibliotecă are un program şi resurse de procurare a cărţilor şi revistelor.</w:t>
            </w:r>
          </w:p>
        </w:tc>
        <w:tc>
          <w:tcPr>
            <w:tcW w:w="5721" w:type="dxa"/>
            <w:tcBorders>
              <w:right w:val="double" w:sz="4" w:space="0" w:color="auto"/>
            </w:tcBorders>
            <w:vAlign w:val="center"/>
          </w:tcPr>
          <w:p w:rsidR="00B26B0E" w:rsidRPr="000F0AED" w:rsidRDefault="00B26B0E" w:rsidP="00905BAF">
            <w:pPr>
              <w:jc w:val="both"/>
              <w:rPr>
                <w:i/>
                <w:iCs/>
                <w:color w:val="000000"/>
                <w:sz w:val="20"/>
                <w:lang w:val="ro-RO"/>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Raportul dintre resursele de învăţare disponibile şi studenţi este astfel stabilit încât fiecare student să aibă acces liber la orice resursă, conform obiectivelor şi cerinţelor programelor de studiu.</w:t>
            </w:r>
          </w:p>
        </w:tc>
        <w:tc>
          <w:tcPr>
            <w:tcW w:w="5721" w:type="dxa"/>
            <w:tcBorders>
              <w:right w:val="double" w:sz="4" w:space="0" w:color="auto"/>
            </w:tcBorders>
            <w:vAlign w:val="center"/>
          </w:tcPr>
          <w:p w:rsidR="00B26B0E" w:rsidRPr="000F0AED" w:rsidRDefault="00B26B0E" w:rsidP="00BB787D">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Default="00B26B0E" w:rsidP="004749AA">
            <w:pPr>
              <w:jc w:val="both"/>
              <w:rPr>
                <w:b/>
                <w:sz w:val="20"/>
                <w:lang w:val="ro-RO"/>
              </w:rPr>
            </w:pPr>
            <w:r w:rsidRPr="000F0AED">
              <w:rPr>
                <w:b/>
                <w:sz w:val="20"/>
                <w:lang w:val="ro-RO"/>
              </w:rPr>
              <w:t>Ref.2: (se poate continua cu indicatori de performanta proprii institutiei, la nivele superioare)</w:t>
            </w:r>
          </w:p>
          <w:p w:rsidR="00B26B0E" w:rsidRPr="0098741F" w:rsidRDefault="00B26B0E" w:rsidP="0098741F">
            <w:pPr>
              <w:jc w:val="both"/>
              <w:rPr>
                <w:color w:val="000000" w:themeColor="text1"/>
                <w:sz w:val="20"/>
                <w:lang w:val="ro-RO"/>
              </w:rPr>
            </w:pPr>
            <w:r w:rsidRPr="0098741F">
              <w:rPr>
                <w:color w:val="000000" w:themeColor="text1"/>
                <w:sz w:val="20"/>
                <w:lang w:val="ro-RO"/>
              </w:rPr>
              <w:t xml:space="preserve">Rata de diseminare a cunoașterii </w:t>
            </w:r>
          </w:p>
        </w:tc>
        <w:tc>
          <w:tcPr>
            <w:tcW w:w="5721" w:type="dxa"/>
            <w:tcBorders>
              <w:right w:val="double" w:sz="4" w:space="0" w:color="auto"/>
            </w:tcBorders>
            <w:vAlign w:val="center"/>
          </w:tcPr>
          <w:p w:rsidR="00B26B0E" w:rsidRPr="008C7175" w:rsidRDefault="00B26B0E" w:rsidP="00BB787D">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b/>
                <w:sz w:val="20"/>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2. Servicii studenţeşti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 xml:space="preserve">Universitatea dispune de un număr minim de servicii sociale, culturale şi sportive pentru studenţi cum sunt: spaţii de cazare pentru cel puţin 10% din studenţi, bază sportivă, diferite servicii de consiliere, </w:t>
            </w:r>
            <w:r w:rsidRPr="000F0AED">
              <w:rPr>
                <w:sz w:val="20"/>
                <w:lang w:val="ro-RO"/>
              </w:rPr>
              <w:lastRenderedPageBreak/>
              <w:t>care au o administraţie eficientă.</w:t>
            </w:r>
          </w:p>
        </w:tc>
        <w:tc>
          <w:tcPr>
            <w:tcW w:w="5721" w:type="dxa"/>
            <w:tcBorders>
              <w:right w:val="double" w:sz="4" w:space="0" w:color="auto"/>
            </w:tcBorders>
            <w:vAlign w:val="center"/>
          </w:tcPr>
          <w:p w:rsidR="00B26B0E" w:rsidRPr="000F0AED" w:rsidRDefault="00B26B0E" w:rsidP="00792620">
            <w:pPr>
              <w:pStyle w:val="Style12"/>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b/>
                <w:sz w:val="20"/>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w:t>
            </w:r>
            <w:r w:rsidRPr="000F0AED">
              <w:rPr>
                <w:sz w:val="20"/>
                <w:lang w:val="ro-RO"/>
              </w:rPr>
              <w:tab/>
              <w:t>Universitatea oferă servicii variate studenţilor şi dispune de programe speciale pentru asigurarea unei vieţi studenţeşti de calitate, pe care le monitorizează şi le evaluează periodic</w:t>
            </w:r>
          </w:p>
        </w:tc>
        <w:tc>
          <w:tcPr>
            <w:tcW w:w="5721" w:type="dxa"/>
            <w:tcBorders>
              <w:right w:val="double" w:sz="4" w:space="0" w:color="auto"/>
            </w:tcBorders>
            <w:vAlign w:val="center"/>
          </w:tcPr>
          <w:p w:rsidR="00B26B0E" w:rsidRPr="0098741F" w:rsidRDefault="00B26B0E" w:rsidP="008D48AE">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b/>
                <w:sz w:val="20"/>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b/>
                <w:sz w:val="20"/>
                <w:lang w:val="ro-RO"/>
              </w:rPr>
            </w:pPr>
            <w:r w:rsidRPr="000F0AED">
              <w:rPr>
                <w:b/>
                <w:sz w:val="20"/>
                <w:lang w:val="ro-RO"/>
              </w:rPr>
              <w:t>Ref.2: (se poate continua cu indicatori de performanta proprii institutiei, la nivele superioare)</w:t>
            </w:r>
          </w:p>
        </w:tc>
        <w:tc>
          <w:tcPr>
            <w:tcW w:w="5721" w:type="dxa"/>
            <w:tcBorders>
              <w:right w:val="double" w:sz="4" w:space="0" w:color="auto"/>
            </w:tcBorders>
            <w:vAlign w:val="center"/>
          </w:tcPr>
          <w:p w:rsidR="00B26B0E" w:rsidRPr="0070266E" w:rsidRDefault="00B26B0E" w:rsidP="00840F9C">
            <w:pPr>
              <w:pStyle w:val="Style12"/>
              <w:widowControl/>
              <w:jc w:val="both"/>
              <w:rPr>
                <w:color w:val="FF0000"/>
                <w:sz w:val="20"/>
                <w:szCs w:val="20"/>
              </w:rPr>
            </w:pPr>
          </w:p>
        </w:tc>
      </w:tr>
      <w:tr w:rsidR="00B26B0E" w:rsidRPr="00B37129" w:rsidTr="00B26B0E">
        <w:trPr>
          <w:trHeight w:val="473"/>
        </w:trPr>
        <w:tc>
          <w:tcPr>
            <w:tcW w:w="1800" w:type="dxa"/>
            <w:vMerge w:val="restart"/>
            <w:tcBorders>
              <w:left w:val="double" w:sz="4" w:space="0" w:color="auto"/>
            </w:tcBorders>
            <w:vAlign w:val="center"/>
          </w:tcPr>
          <w:p w:rsidR="00B26B0E" w:rsidRPr="000F0AED" w:rsidRDefault="00B26B0E" w:rsidP="004749AA">
            <w:pPr>
              <w:rPr>
                <w:b/>
                <w:i/>
                <w:caps/>
                <w:sz w:val="20"/>
                <w:lang w:val="ro-RO"/>
              </w:rPr>
            </w:pPr>
            <w:r w:rsidRPr="000F0AED">
              <w:rPr>
                <w:b/>
                <w:i/>
                <w:caps/>
                <w:sz w:val="20"/>
                <w:lang w:val="ro-RO"/>
              </w:rPr>
              <w:t>C.6 – Baza de date actualizată sistematic, referitoare la asigurarea internă a calităţii</w:t>
            </w:r>
          </w:p>
        </w:tc>
        <w:tc>
          <w:tcPr>
            <w:tcW w:w="12801" w:type="dxa"/>
            <w:gridSpan w:val="5"/>
            <w:tcBorders>
              <w:right w:val="double" w:sz="4" w:space="0" w:color="auto"/>
            </w:tcBorders>
            <w:vAlign w:val="center"/>
          </w:tcPr>
          <w:p w:rsidR="00B26B0E" w:rsidRPr="000F0AED" w:rsidRDefault="00B26B0E" w:rsidP="00840F9C">
            <w:pPr>
              <w:jc w:val="center"/>
              <w:rPr>
                <w:lang w:val="ro-RO"/>
              </w:rPr>
            </w:pPr>
            <w:r w:rsidRPr="000F0AED">
              <w:rPr>
                <w:i/>
                <w:caps/>
                <w:sz w:val="20"/>
                <w:lang w:val="ro-RO"/>
              </w:rPr>
              <w:t>s.C.6.1. Sisteme de informaţii</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1. Baze de date şi informaţii</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Instituţia are un sistem informatic care facilitează colectarea, prelucrarea şi analiza datelor şi informaţiilor relevante pentru evaluarea şi asigurarea instituţională a calităţii.</w:t>
            </w:r>
          </w:p>
        </w:tc>
        <w:tc>
          <w:tcPr>
            <w:tcW w:w="5721" w:type="dxa"/>
            <w:tcBorders>
              <w:right w:val="double" w:sz="4" w:space="0" w:color="auto"/>
            </w:tcBorders>
            <w:vAlign w:val="center"/>
          </w:tcPr>
          <w:p w:rsidR="00B26B0E" w:rsidRPr="0098741F" w:rsidRDefault="00B26B0E" w:rsidP="0070266E">
            <w:pPr>
              <w:overflowPunct/>
              <w:ind w:left="12"/>
              <w:jc w:val="both"/>
              <w:textAlignment w:val="auto"/>
              <w:rPr>
                <w:i/>
                <w:iCs/>
                <w:color w:val="000000" w:themeColor="text1"/>
                <w:sz w:val="20"/>
                <w:lang w:val="ro-RO"/>
              </w:rPr>
            </w:pPr>
          </w:p>
        </w:tc>
      </w:tr>
      <w:tr w:rsidR="00B26B0E" w:rsidRPr="00B37129" w:rsidTr="00B26B0E">
        <w:trPr>
          <w:trHeight w:val="1302"/>
        </w:trPr>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sz w:val="20"/>
                <w:lang w:val="ro-RO"/>
              </w:rPr>
              <w:tab/>
              <w:t>Pe lângă datele şi informaţiile privitoare la starea instituţională a calităţii, universitatea adună informaţii despre starea calităţii în alte universităţi din ţară şi străinătate, cu care se compară şi pe baza cărora formulează în mod diferenţiat repere (benchmarks)</w:t>
            </w:r>
          </w:p>
        </w:tc>
        <w:tc>
          <w:tcPr>
            <w:tcW w:w="5721" w:type="dxa"/>
            <w:tcBorders>
              <w:right w:val="double" w:sz="4" w:space="0" w:color="auto"/>
            </w:tcBorders>
            <w:vAlign w:val="center"/>
          </w:tcPr>
          <w:p w:rsidR="00B26B0E" w:rsidRDefault="00B26B0E" w:rsidP="00A66FD5">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b/>
                <w:sz w:val="20"/>
                <w:lang w:val="ro-RO"/>
              </w:rPr>
            </w:pPr>
            <w:r w:rsidRPr="000F0AED">
              <w:rPr>
                <w:b/>
                <w:sz w:val="20"/>
                <w:lang w:val="ro-RO"/>
              </w:rPr>
              <w:t>Ref.2: (se poate continua cu indicatori de performanta proprii instit</w:t>
            </w:r>
            <w:r>
              <w:rPr>
                <w:b/>
                <w:sz w:val="20"/>
                <w:lang w:val="ro-RO"/>
              </w:rPr>
              <w:t>uț</w:t>
            </w:r>
            <w:r w:rsidRPr="000F0AED">
              <w:rPr>
                <w:b/>
                <w:sz w:val="20"/>
                <w:lang w:val="ro-RO"/>
              </w:rPr>
              <w:t>iei, la nivele superioare)</w:t>
            </w:r>
          </w:p>
        </w:tc>
        <w:tc>
          <w:tcPr>
            <w:tcW w:w="5721" w:type="dxa"/>
            <w:tcBorders>
              <w:right w:val="double" w:sz="4" w:space="0" w:color="auto"/>
            </w:tcBorders>
            <w:vAlign w:val="center"/>
          </w:tcPr>
          <w:p w:rsidR="00B26B0E" w:rsidRPr="0070266E" w:rsidRDefault="00B26B0E" w:rsidP="0070266E">
            <w:pPr>
              <w:pStyle w:val="Style12"/>
              <w:rPr>
                <w:color w:val="FF0000"/>
                <w:sz w:val="20"/>
                <w:szCs w:val="20"/>
              </w:rPr>
            </w:pPr>
          </w:p>
        </w:tc>
      </w:tr>
      <w:tr w:rsidR="00B26B0E" w:rsidRPr="000F0AED" w:rsidTr="00B26B0E">
        <w:trPr>
          <w:trHeight w:val="470"/>
        </w:trPr>
        <w:tc>
          <w:tcPr>
            <w:tcW w:w="1800" w:type="dxa"/>
            <w:vMerge w:val="restart"/>
            <w:tcBorders>
              <w:left w:val="double" w:sz="4" w:space="0" w:color="auto"/>
            </w:tcBorders>
          </w:tcPr>
          <w:p w:rsidR="00B26B0E" w:rsidRPr="000F0AED" w:rsidRDefault="00B26B0E" w:rsidP="004749AA">
            <w:pPr>
              <w:rPr>
                <w:b/>
                <w:lang w:val="ro-RO"/>
              </w:rPr>
            </w:pPr>
            <w:r w:rsidRPr="000F0AED">
              <w:rPr>
                <w:b/>
                <w:i/>
                <w:caps/>
                <w:sz w:val="20"/>
                <w:lang w:val="ro-RO"/>
              </w:rPr>
              <w:t xml:space="preserve">C.7 – </w:t>
            </w:r>
            <w:r w:rsidRPr="000F0AED">
              <w:rPr>
                <w:b/>
                <w:i/>
                <w:caps/>
                <w:sz w:val="18"/>
                <w:szCs w:val="18"/>
                <w:lang w:val="ro-RO"/>
              </w:rPr>
              <w:t>Transparenţa informaţiilor de interes public cu privire la programele de studii şi, după caz, certificatele, diplomele şi calificările oferite</w:t>
            </w:r>
          </w:p>
        </w:tc>
        <w:tc>
          <w:tcPr>
            <w:tcW w:w="12801" w:type="dxa"/>
            <w:gridSpan w:val="5"/>
            <w:tcBorders>
              <w:right w:val="double" w:sz="4" w:space="0" w:color="auto"/>
            </w:tcBorders>
            <w:vAlign w:val="center"/>
          </w:tcPr>
          <w:p w:rsidR="00B26B0E" w:rsidRPr="00840F9C" w:rsidRDefault="00B26B0E" w:rsidP="00840F9C">
            <w:pPr>
              <w:jc w:val="center"/>
              <w:rPr>
                <w:i/>
                <w:caps/>
                <w:sz w:val="20"/>
                <w:lang w:val="ro-RO"/>
              </w:rPr>
            </w:pPr>
            <w:r w:rsidRPr="000F0AED">
              <w:rPr>
                <w:i/>
                <w:caps/>
                <w:sz w:val="20"/>
                <w:lang w:val="ro-RO"/>
              </w:rPr>
              <w:t>s.C.7.1. Informaţie publică</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val="restart"/>
            <w:vAlign w:val="center"/>
          </w:tcPr>
          <w:p w:rsidR="00B26B0E" w:rsidRPr="000F0AED" w:rsidRDefault="00B26B0E" w:rsidP="004749AA">
            <w:pPr>
              <w:rPr>
                <w:b/>
                <w:sz w:val="20"/>
                <w:lang w:val="ro-RO"/>
              </w:rPr>
            </w:pPr>
            <w:r w:rsidRPr="000F0AED">
              <w:rPr>
                <w:b/>
                <w:sz w:val="20"/>
                <w:lang w:val="ro-RO"/>
              </w:rPr>
              <w:t>1. Oferta de informaţii publice</w:t>
            </w:r>
          </w:p>
        </w:tc>
        <w:tc>
          <w:tcPr>
            <w:tcW w:w="4680" w:type="dxa"/>
            <w:gridSpan w:val="2"/>
          </w:tcPr>
          <w:p w:rsidR="00B26B0E" w:rsidRPr="000F0AED" w:rsidRDefault="00B26B0E" w:rsidP="004749AA">
            <w:pPr>
              <w:jc w:val="both"/>
              <w:rPr>
                <w:sz w:val="20"/>
                <w:lang w:val="ro-RO"/>
              </w:rPr>
            </w:pPr>
            <w:r w:rsidRPr="000F0AED">
              <w:rPr>
                <w:b/>
                <w:sz w:val="20"/>
                <w:lang w:val="ro-RO"/>
              </w:rPr>
              <w:t>Min:</w:t>
            </w:r>
            <w:r w:rsidRPr="000F0AED">
              <w:rPr>
                <w:sz w:val="20"/>
                <w:lang w:val="ro-RO"/>
              </w:rPr>
              <w:tab/>
              <w:t>Universitatea şi toate facultăţile ei trebuie să ofere informaţii şi date, cantitative şi/sau calitative, actuale şi corecte, despre calificările, programele de studiu, diplomele, personalul didactic şi de cercetare, facilităţile oferite studenţilor şi despre orice aspecte de interes pentru public, în general, şi pentru studenţi, în special.</w:t>
            </w:r>
          </w:p>
        </w:tc>
        <w:tc>
          <w:tcPr>
            <w:tcW w:w="5721" w:type="dxa"/>
            <w:tcBorders>
              <w:right w:val="double" w:sz="4" w:space="0" w:color="auto"/>
            </w:tcBorders>
            <w:vAlign w:val="center"/>
          </w:tcPr>
          <w:p w:rsidR="00B26B0E" w:rsidRPr="0098741F" w:rsidRDefault="00B26B0E" w:rsidP="00D42689">
            <w:pPr>
              <w:pStyle w:val="Style12"/>
              <w:widowControl/>
              <w:jc w:val="both"/>
              <w:rPr>
                <w:color w:val="000000" w:themeColor="text1"/>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sz w:val="20"/>
                <w:lang w:val="ro-RO"/>
              </w:rPr>
            </w:pPr>
            <w:r w:rsidRPr="000F0AED">
              <w:rPr>
                <w:b/>
                <w:sz w:val="20"/>
                <w:lang w:val="ro-RO"/>
              </w:rPr>
              <w:t>Ref. 1:</w:t>
            </w:r>
            <w:r w:rsidRPr="000F0AED">
              <w:rPr>
                <w:b/>
                <w:sz w:val="20"/>
                <w:lang w:val="ro-RO"/>
              </w:rPr>
              <w:tab/>
            </w:r>
            <w:r w:rsidRPr="000F0AED">
              <w:rPr>
                <w:sz w:val="20"/>
                <w:lang w:val="ro-RO"/>
              </w:rPr>
              <w:t>Informaţia oferită public de universitate este comparabilă, cantitativ şi calitativ, cu cea oferită de universităţile din Spaţiul European al Învăţământului Superior</w:t>
            </w:r>
          </w:p>
        </w:tc>
        <w:tc>
          <w:tcPr>
            <w:tcW w:w="5721" w:type="dxa"/>
            <w:tcBorders>
              <w:right w:val="double" w:sz="4" w:space="0" w:color="auto"/>
            </w:tcBorders>
            <w:vAlign w:val="center"/>
          </w:tcPr>
          <w:p w:rsidR="00B26B0E" w:rsidRDefault="00B26B0E" w:rsidP="00D42689">
            <w:pPr>
              <w:pStyle w:val="Style12"/>
              <w:widowControl/>
              <w:jc w:val="both"/>
              <w:rPr>
                <w:sz w:val="20"/>
                <w:szCs w:val="20"/>
              </w:rPr>
            </w:pP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400" w:type="dxa"/>
            <w:gridSpan w:val="2"/>
            <w:vMerge/>
          </w:tcPr>
          <w:p w:rsidR="00B26B0E" w:rsidRPr="000F0AED" w:rsidRDefault="00B26B0E" w:rsidP="004749AA">
            <w:pPr>
              <w:rPr>
                <w:b/>
                <w:sz w:val="20"/>
                <w:lang w:val="ro-RO"/>
              </w:rPr>
            </w:pPr>
          </w:p>
        </w:tc>
        <w:tc>
          <w:tcPr>
            <w:tcW w:w="4680" w:type="dxa"/>
            <w:gridSpan w:val="2"/>
          </w:tcPr>
          <w:p w:rsidR="00B26B0E" w:rsidRPr="000F0AED" w:rsidRDefault="00B26B0E" w:rsidP="004749AA">
            <w:pPr>
              <w:jc w:val="both"/>
              <w:rPr>
                <w:b/>
                <w:sz w:val="20"/>
                <w:lang w:val="ro-RO"/>
              </w:rPr>
            </w:pPr>
            <w:r w:rsidRPr="000F0AED">
              <w:rPr>
                <w:b/>
                <w:sz w:val="20"/>
                <w:lang w:val="ro-RO"/>
              </w:rPr>
              <w:t>Ref.2: (se poate continua cu indicatori de performanta proprii institutiei, la nivele superioare)</w:t>
            </w:r>
          </w:p>
        </w:tc>
        <w:tc>
          <w:tcPr>
            <w:tcW w:w="5721" w:type="dxa"/>
            <w:tcBorders>
              <w:right w:val="double" w:sz="4" w:space="0" w:color="auto"/>
            </w:tcBorders>
            <w:vAlign w:val="center"/>
          </w:tcPr>
          <w:p w:rsidR="00B26B0E" w:rsidRPr="0070266E" w:rsidRDefault="00B26B0E" w:rsidP="0098741F">
            <w:pPr>
              <w:pStyle w:val="Style12"/>
              <w:widowControl/>
              <w:jc w:val="both"/>
              <w:rPr>
                <w:color w:val="FF0000"/>
                <w:sz w:val="20"/>
                <w:szCs w:val="20"/>
              </w:rPr>
            </w:pPr>
            <w:r w:rsidRPr="0070266E">
              <w:rPr>
                <w:color w:val="FF0000"/>
                <w:sz w:val="20"/>
                <w:szCs w:val="20"/>
              </w:rPr>
              <w:t xml:space="preserve">      </w:t>
            </w:r>
          </w:p>
        </w:tc>
      </w:tr>
      <w:tr w:rsidR="00B26B0E" w:rsidRPr="00B37129" w:rsidTr="00B26B0E">
        <w:trPr>
          <w:trHeight w:val="676"/>
        </w:trPr>
        <w:tc>
          <w:tcPr>
            <w:tcW w:w="1800" w:type="dxa"/>
            <w:vMerge w:val="restart"/>
            <w:tcBorders>
              <w:left w:val="double" w:sz="4" w:space="0" w:color="auto"/>
            </w:tcBorders>
            <w:vAlign w:val="center"/>
          </w:tcPr>
          <w:p w:rsidR="00B26B0E" w:rsidRPr="000F0AED" w:rsidRDefault="00B26B0E" w:rsidP="004749AA">
            <w:pPr>
              <w:rPr>
                <w:b/>
                <w:bCs/>
                <w:i/>
                <w:iCs/>
                <w:caps/>
                <w:sz w:val="20"/>
                <w:lang w:val="ro-RO"/>
              </w:rPr>
            </w:pPr>
          </w:p>
          <w:p w:rsidR="00B26B0E" w:rsidRPr="000F0AED" w:rsidRDefault="00B26B0E" w:rsidP="004749AA">
            <w:pPr>
              <w:rPr>
                <w:b/>
                <w:bCs/>
                <w:i/>
                <w:iCs/>
                <w:caps/>
                <w:sz w:val="20"/>
                <w:lang w:val="ro-RO"/>
              </w:rPr>
            </w:pPr>
          </w:p>
          <w:p w:rsidR="00B26B0E" w:rsidRPr="000F0AED" w:rsidRDefault="00B26B0E" w:rsidP="004749AA">
            <w:pPr>
              <w:rPr>
                <w:b/>
                <w:bCs/>
                <w:i/>
                <w:iCs/>
                <w:caps/>
                <w:sz w:val="20"/>
                <w:lang w:val="ro-RO"/>
              </w:rPr>
            </w:pPr>
          </w:p>
          <w:p w:rsidR="00B26B0E" w:rsidRPr="000F0AED" w:rsidRDefault="00B26B0E" w:rsidP="004749AA">
            <w:pPr>
              <w:rPr>
                <w:b/>
                <w:bCs/>
                <w:i/>
                <w:iCs/>
                <w:caps/>
                <w:sz w:val="20"/>
                <w:lang w:val="ro-RO"/>
              </w:rPr>
            </w:pPr>
          </w:p>
          <w:p w:rsidR="00B26B0E" w:rsidRPr="000F0AED" w:rsidRDefault="00B26B0E" w:rsidP="004749AA">
            <w:pPr>
              <w:rPr>
                <w:b/>
                <w:bCs/>
                <w:i/>
                <w:iCs/>
                <w:caps/>
                <w:sz w:val="20"/>
                <w:lang w:val="ro-RO"/>
              </w:rPr>
            </w:pPr>
          </w:p>
          <w:p w:rsidR="00B26B0E" w:rsidRPr="000F0AED" w:rsidRDefault="00B26B0E" w:rsidP="004749AA">
            <w:pPr>
              <w:rPr>
                <w:b/>
                <w:caps/>
                <w:sz w:val="20"/>
                <w:lang w:val="ro-RO"/>
              </w:rPr>
            </w:pPr>
            <w:r w:rsidRPr="000F0AED">
              <w:rPr>
                <w:b/>
                <w:bCs/>
                <w:i/>
                <w:iCs/>
                <w:caps/>
                <w:sz w:val="20"/>
                <w:lang w:val="ro-RO"/>
              </w:rPr>
              <w:t>C.8 Funcţionalitatea structurilor de asigurare a calităţii educaţiei, conform legii.</w:t>
            </w:r>
          </w:p>
        </w:tc>
        <w:tc>
          <w:tcPr>
            <w:tcW w:w="12801" w:type="dxa"/>
            <w:gridSpan w:val="5"/>
            <w:tcBorders>
              <w:right w:val="double" w:sz="4" w:space="0" w:color="auto"/>
            </w:tcBorders>
            <w:vAlign w:val="center"/>
          </w:tcPr>
          <w:p w:rsidR="00B26B0E" w:rsidRPr="000F0AED" w:rsidRDefault="00B26B0E" w:rsidP="004749AA">
            <w:pPr>
              <w:jc w:val="center"/>
              <w:rPr>
                <w:lang w:val="ro-RO"/>
              </w:rPr>
            </w:pPr>
            <w:r w:rsidRPr="000F0AED">
              <w:rPr>
                <w:bCs/>
                <w:i/>
                <w:iCs/>
                <w:caps/>
                <w:sz w:val="20"/>
                <w:lang w:val="ro-RO"/>
              </w:rPr>
              <w:t>s.C.8.1. Structura instituţională de asigurare a calităţii educaţiei este conformă prevederilor legale şi îşi desfăşoară activitatea permanent</w:t>
            </w:r>
          </w:p>
        </w:tc>
      </w:tr>
      <w:tr w:rsidR="00B26B0E" w:rsidRPr="00B37129" w:rsidTr="00B26B0E">
        <w:tc>
          <w:tcPr>
            <w:tcW w:w="1800" w:type="dxa"/>
            <w:vMerge/>
            <w:tcBorders>
              <w:left w:val="double" w:sz="4" w:space="0" w:color="auto"/>
            </w:tcBorders>
          </w:tcPr>
          <w:p w:rsidR="00B26B0E" w:rsidRPr="000F0AED" w:rsidRDefault="00B26B0E" w:rsidP="004749AA">
            <w:pPr>
              <w:rPr>
                <w:lang w:val="ro-RO"/>
              </w:rPr>
            </w:pPr>
          </w:p>
        </w:tc>
        <w:tc>
          <w:tcPr>
            <w:tcW w:w="2876" w:type="dxa"/>
            <w:gridSpan w:val="3"/>
            <w:vMerge w:val="restart"/>
            <w:vAlign w:val="center"/>
          </w:tcPr>
          <w:p w:rsidR="00B26B0E" w:rsidRPr="000F0AED" w:rsidRDefault="00B26B0E" w:rsidP="004749AA">
            <w:pPr>
              <w:rPr>
                <w:lang w:val="ro-RO"/>
              </w:rPr>
            </w:pPr>
            <w:r w:rsidRPr="000F0AED">
              <w:rPr>
                <w:bCs/>
                <w:iCs/>
                <w:sz w:val="20"/>
                <w:lang w:val="ro-RO"/>
              </w:rPr>
              <w:t>1</w:t>
            </w:r>
            <w:r w:rsidRPr="000F0AED">
              <w:rPr>
                <w:b/>
                <w:bCs/>
                <w:iCs/>
                <w:sz w:val="20"/>
                <w:lang w:val="ro-RO"/>
              </w:rPr>
              <w:t>. Comisia coordonează aplicarea procedurilor şi activităţilor de evaluare şi asigurare a calităţii</w:t>
            </w:r>
          </w:p>
        </w:tc>
        <w:tc>
          <w:tcPr>
            <w:tcW w:w="4204" w:type="dxa"/>
          </w:tcPr>
          <w:p w:rsidR="00B26B0E" w:rsidRPr="000F0AED" w:rsidRDefault="00B26B0E" w:rsidP="004749AA">
            <w:pPr>
              <w:jc w:val="both"/>
              <w:rPr>
                <w:lang w:val="ro-RO"/>
              </w:rPr>
            </w:pPr>
            <w:r w:rsidRPr="000F0AED">
              <w:rPr>
                <w:b/>
                <w:bCs/>
                <w:sz w:val="20"/>
                <w:lang w:val="ro-RO"/>
              </w:rPr>
              <w:t>Min:</w:t>
            </w:r>
            <w:r w:rsidRPr="000F0AED">
              <w:rPr>
                <w:b/>
                <w:bCs/>
                <w:lang w:val="ro-RO"/>
              </w:rPr>
              <w:t xml:space="preserve"> </w:t>
            </w:r>
            <w:r w:rsidRPr="000F0AED">
              <w:rPr>
                <w:b/>
                <w:bCs/>
                <w:lang w:val="ro-RO"/>
              </w:rPr>
              <w:tab/>
            </w:r>
            <w:r w:rsidRPr="000F0AED">
              <w:rPr>
                <w:bCs/>
                <w:sz w:val="20"/>
                <w:lang w:val="ro-RO"/>
              </w:rPr>
              <w:t xml:space="preserve">Procedurile şi activităţile de evaluare privind calitatea educaţiei au fost elaborate şi aprobate de Senatul universitar. Comisia elaborează raportul anual de evaluare internă şi îl face public prin afişare sau publicare, inclusiv în format electronic, şi formulează propuneri de îmbunătăţire a calităţii educaţiei </w:t>
            </w:r>
            <w:r w:rsidRPr="000F0AED">
              <w:rPr>
                <w:b/>
                <w:bCs/>
                <w:lang w:val="ro-RO"/>
              </w:rPr>
              <w:t xml:space="preserve"> </w:t>
            </w:r>
          </w:p>
        </w:tc>
        <w:tc>
          <w:tcPr>
            <w:tcW w:w="5721" w:type="dxa"/>
            <w:tcBorders>
              <w:right w:val="double" w:sz="4" w:space="0" w:color="auto"/>
            </w:tcBorders>
            <w:vAlign w:val="center"/>
          </w:tcPr>
          <w:p w:rsidR="00B26B0E" w:rsidRDefault="00B26B0E" w:rsidP="00C8564F">
            <w:pPr>
              <w:pStyle w:val="Style12"/>
              <w:widowControl/>
              <w:jc w:val="both"/>
              <w:rPr>
                <w:sz w:val="20"/>
                <w:szCs w:val="20"/>
              </w:rPr>
            </w:pPr>
          </w:p>
        </w:tc>
      </w:tr>
      <w:tr w:rsidR="00B26B0E" w:rsidRPr="00B37129" w:rsidTr="00B26B0E">
        <w:trPr>
          <w:trHeight w:val="1488"/>
        </w:trPr>
        <w:tc>
          <w:tcPr>
            <w:tcW w:w="1800" w:type="dxa"/>
            <w:vMerge/>
            <w:tcBorders>
              <w:left w:val="double" w:sz="4" w:space="0" w:color="auto"/>
            </w:tcBorders>
          </w:tcPr>
          <w:p w:rsidR="00B26B0E" w:rsidRPr="000F0AED" w:rsidRDefault="00B26B0E" w:rsidP="004749AA">
            <w:pPr>
              <w:rPr>
                <w:lang w:val="ro-RO"/>
              </w:rPr>
            </w:pPr>
          </w:p>
        </w:tc>
        <w:tc>
          <w:tcPr>
            <w:tcW w:w="2876" w:type="dxa"/>
            <w:gridSpan w:val="3"/>
            <w:vMerge/>
          </w:tcPr>
          <w:p w:rsidR="00B26B0E" w:rsidRPr="000F0AED" w:rsidRDefault="00B26B0E" w:rsidP="004749AA">
            <w:pPr>
              <w:rPr>
                <w:bCs/>
                <w:iCs/>
                <w:sz w:val="20"/>
                <w:lang w:val="ro-RO"/>
              </w:rPr>
            </w:pPr>
          </w:p>
        </w:tc>
        <w:tc>
          <w:tcPr>
            <w:tcW w:w="4204" w:type="dxa"/>
          </w:tcPr>
          <w:p w:rsidR="00B26B0E" w:rsidRPr="000F0AED" w:rsidRDefault="00B26B0E" w:rsidP="00C37A83">
            <w:pPr>
              <w:pStyle w:val="Heading3"/>
              <w:spacing w:before="0" w:after="0"/>
              <w:jc w:val="both"/>
              <w:rPr>
                <w:rFonts w:ascii="Times New Roman" w:hAnsi="Times New Roman" w:cs="Times New Roman"/>
                <w:b w:val="0"/>
                <w:sz w:val="20"/>
                <w:szCs w:val="20"/>
                <w:lang w:val="ro-RO"/>
              </w:rPr>
            </w:pPr>
            <w:r w:rsidRPr="000F0AED">
              <w:rPr>
                <w:rFonts w:ascii="Times New Roman" w:hAnsi="Times New Roman" w:cs="Times New Roman"/>
                <w:sz w:val="20"/>
                <w:szCs w:val="20"/>
                <w:lang w:val="ro-RO"/>
              </w:rPr>
              <w:t xml:space="preserve">Ref.1:  </w:t>
            </w:r>
            <w:r w:rsidRPr="000F0AED">
              <w:rPr>
                <w:rFonts w:ascii="Times New Roman" w:hAnsi="Times New Roman" w:cs="Times New Roman"/>
                <w:b w:val="0"/>
                <w:sz w:val="20"/>
                <w:szCs w:val="20"/>
                <w:lang w:val="ro-RO"/>
              </w:rPr>
              <w:t>Instituţia implementează permanent măsurile de îmbunătăţire a calităţii educaţiei propuse de comisie şi colaborează cu alte universităţi din ţară sau din străinătate pentru identificarea şi adoptarea bunelor practici în domeniile de calitate.</w:t>
            </w:r>
          </w:p>
        </w:tc>
        <w:tc>
          <w:tcPr>
            <w:tcW w:w="5721" w:type="dxa"/>
            <w:tcBorders>
              <w:right w:val="double" w:sz="4" w:space="0" w:color="auto"/>
            </w:tcBorders>
            <w:vAlign w:val="center"/>
          </w:tcPr>
          <w:p w:rsidR="00B26B0E" w:rsidRDefault="00B26B0E" w:rsidP="00C37A83">
            <w:pPr>
              <w:pStyle w:val="Style12"/>
              <w:widowControl/>
              <w:jc w:val="both"/>
              <w:rPr>
                <w:sz w:val="20"/>
                <w:szCs w:val="20"/>
              </w:rPr>
            </w:pPr>
          </w:p>
        </w:tc>
      </w:tr>
      <w:tr w:rsidR="00B26B0E" w:rsidRPr="00B37129" w:rsidTr="00B26B0E">
        <w:trPr>
          <w:trHeight w:val="857"/>
        </w:trPr>
        <w:tc>
          <w:tcPr>
            <w:tcW w:w="1800" w:type="dxa"/>
            <w:vMerge/>
            <w:tcBorders>
              <w:left w:val="double" w:sz="4" w:space="0" w:color="auto"/>
              <w:bottom w:val="double" w:sz="4" w:space="0" w:color="auto"/>
            </w:tcBorders>
          </w:tcPr>
          <w:p w:rsidR="00B26B0E" w:rsidRPr="000F0AED" w:rsidRDefault="00B26B0E" w:rsidP="004749AA">
            <w:pPr>
              <w:rPr>
                <w:lang w:val="ro-RO"/>
              </w:rPr>
            </w:pPr>
          </w:p>
        </w:tc>
        <w:tc>
          <w:tcPr>
            <w:tcW w:w="2876" w:type="dxa"/>
            <w:gridSpan w:val="3"/>
            <w:vMerge/>
            <w:tcBorders>
              <w:bottom w:val="double" w:sz="4" w:space="0" w:color="auto"/>
            </w:tcBorders>
          </w:tcPr>
          <w:p w:rsidR="00B26B0E" w:rsidRPr="000F0AED" w:rsidRDefault="00B26B0E" w:rsidP="004749AA">
            <w:pPr>
              <w:rPr>
                <w:bCs/>
                <w:iCs/>
                <w:sz w:val="20"/>
                <w:lang w:val="ro-RO"/>
              </w:rPr>
            </w:pPr>
          </w:p>
        </w:tc>
        <w:tc>
          <w:tcPr>
            <w:tcW w:w="4204" w:type="dxa"/>
            <w:tcBorders>
              <w:bottom w:val="double" w:sz="4" w:space="0" w:color="auto"/>
            </w:tcBorders>
          </w:tcPr>
          <w:p w:rsidR="00B26B0E" w:rsidRPr="000F0AED" w:rsidRDefault="00B26B0E" w:rsidP="00C37A83">
            <w:pPr>
              <w:pStyle w:val="Heading3"/>
              <w:spacing w:before="0" w:after="0"/>
              <w:jc w:val="both"/>
              <w:rPr>
                <w:rFonts w:ascii="Times New Roman" w:hAnsi="Times New Roman" w:cs="Times New Roman"/>
                <w:b w:val="0"/>
                <w:sz w:val="20"/>
                <w:szCs w:val="20"/>
                <w:lang w:val="ro-RO"/>
              </w:rPr>
            </w:pPr>
            <w:r w:rsidRPr="000F0AED">
              <w:rPr>
                <w:rFonts w:ascii="Times New Roman" w:hAnsi="Times New Roman" w:cs="Times New Roman"/>
                <w:b w:val="0"/>
                <w:sz w:val="20"/>
                <w:szCs w:val="20"/>
                <w:lang w:val="ro-RO"/>
              </w:rPr>
              <w:t>Ref.2: (se poate continua cu indicatori de performanta proprii institu</w:t>
            </w:r>
            <w:r>
              <w:rPr>
                <w:rFonts w:ascii="Times New Roman" w:hAnsi="Times New Roman" w:cs="Times New Roman"/>
                <w:b w:val="0"/>
                <w:sz w:val="20"/>
                <w:szCs w:val="20"/>
                <w:lang w:val="ro-RO"/>
              </w:rPr>
              <w:t>ți</w:t>
            </w:r>
            <w:r w:rsidRPr="000F0AED">
              <w:rPr>
                <w:rFonts w:ascii="Times New Roman" w:hAnsi="Times New Roman" w:cs="Times New Roman"/>
                <w:b w:val="0"/>
                <w:sz w:val="20"/>
                <w:szCs w:val="20"/>
                <w:lang w:val="ro-RO"/>
              </w:rPr>
              <w:t>ei, la nivele superioare)</w:t>
            </w:r>
            <w:r>
              <w:rPr>
                <w:rFonts w:ascii="Times New Roman" w:hAnsi="Times New Roman" w:cs="Times New Roman"/>
                <w:b w:val="0"/>
                <w:sz w:val="20"/>
                <w:szCs w:val="20"/>
                <w:lang w:val="ro-RO"/>
              </w:rPr>
              <w:t>.</w:t>
            </w:r>
          </w:p>
        </w:tc>
        <w:tc>
          <w:tcPr>
            <w:tcW w:w="5721" w:type="dxa"/>
            <w:tcBorders>
              <w:bottom w:val="double" w:sz="4" w:space="0" w:color="auto"/>
              <w:right w:val="double" w:sz="4" w:space="0" w:color="auto"/>
            </w:tcBorders>
          </w:tcPr>
          <w:p w:rsidR="00B26B0E" w:rsidRPr="000F0AED" w:rsidRDefault="00B26B0E" w:rsidP="00C37A83">
            <w:pPr>
              <w:rPr>
                <w:lang w:val="ro-RO"/>
              </w:rPr>
            </w:pPr>
          </w:p>
        </w:tc>
      </w:tr>
    </w:tbl>
    <w:p w:rsidR="00B26B0E" w:rsidRPr="000F0AED" w:rsidRDefault="00B26B0E" w:rsidP="00912EDB">
      <w:pPr>
        <w:rPr>
          <w:lang w:val="ro-RO"/>
        </w:rPr>
      </w:pPr>
    </w:p>
    <w:p w:rsidR="00B26B0E" w:rsidRPr="000F0AED" w:rsidRDefault="00B26B0E" w:rsidP="00912EDB">
      <w:pPr>
        <w:tabs>
          <w:tab w:val="left" w:pos="11055"/>
        </w:tabs>
        <w:rPr>
          <w:lang w:val="ro-RO"/>
        </w:rPr>
      </w:pPr>
      <w:r w:rsidRPr="000F0AED">
        <w:rPr>
          <w:lang w:val="ro-RO"/>
        </w:rPr>
        <w:tab/>
      </w:r>
    </w:p>
    <w:p w:rsidR="00E21164" w:rsidRPr="00B26B0E" w:rsidRDefault="00E21164" w:rsidP="00E21164">
      <w:pPr>
        <w:tabs>
          <w:tab w:val="left" w:pos="4260"/>
        </w:tabs>
        <w:rPr>
          <w:lang w:val="ro-RO"/>
        </w:rPr>
      </w:pPr>
    </w:p>
    <w:sectPr w:rsidR="00E21164" w:rsidRPr="00B26B0E" w:rsidSect="00B37129">
      <w:headerReference w:type="default" r:id="rId8"/>
      <w:footerReference w:type="default" r:id="rId9"/>
      <w:pgSz w:w="16838" w:h="11906" w:orient="landscape"/>
      <w:pgMar w:top="1843" w:right="1245" w:bottom="993" w:left="1440" w:header="0" w:footer="2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C8" w:rsidRDefault="003451C8" w:rsidP="009B651D">
      <w:r>
        <w:separator/>
      </w:r>
    </w:p>
  </w:endnote>
  <w:endnote w:type="continuationSeparator" w:id="0">
    <w:p w:rsidR="003451C8" w:rsidRDefault="003451C8" w:rsidP="009B6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47873"/>
      <w:docPartObj>
        <w:docPartGallery w:val="Page Numbers (Bottom of Page)"/>
        <w:docPartUnique/>
      </w:docPartObj>
    </w:sdtPr>
    <w:sdtEndPr>
      <w:rPr>
        <w:sz w:val="8"/>
      </w:rPr>
    </w:sdtEndPr>
    <w:sdtContent>
      <w:p w:rsidR="005418C2" w:rsidRPr="005418C2" w:rsidRDefault="00B37129">
        <w:pPr>
          <w:pStyle w:val="Footer"/>
          <w:jc w:val="center"/>
          <w:rPr>
            <w:sz w:val="16"/>
          </w:rPr>
        </w:pPr>
        <w:fldSimple w:instr=" PAGE   \* MERGEFORMAT ">
          <w:r>
            <w:rPr>
              <w:noProof/>
            </w:rPr>
            <w:t>1</w:t>
          </w:r>
        </w:fldSimple>
      </w:p>
      <w:tbl>
        <w:tblPr>
          <w:tblStyle w:val="TableGrid"/>
          <w:tblW w:w="14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8"/>
          <w:gridCol w:w="13409"/>
        </w:tblGrid>
        <w:tr w:rsidR="005418C2" w:rsidTr="005418C2">
          <w:tc>
            <w:tcPr>
              <w:tcW w:w="1308" w:type="dxa"/>
              <w:vAlign w:val="center"/>
              <w:hideMark/>
            </w:tcPr>
            <w:p w:rsidR="005418C2" w:rsidRDefault="005418C2">
              <w:pPr>
                <w:pStyle w:val="Footer"/>
                <w:jc w:val="right"/>
                <w:rPr>
                  <w:rFonts w:ascii="Arial" w:hAnsi="Arial" w:cs="Arial"/>
                  <w:b/>
                  <w:color w:val="000066"/>
                  <w:sz w:val="16"/>
                  <w:szCs w:val="16"/>
                </w:rPr>
              </w:pPr>
            </w:p>
          </w:tc>
          <w:tc>
            <w:tcPr>
              <w:tcW w:w="13409" w:type="dxa"/>
              <w:hideMark/>
            </w:tcPr>
            <w:p w:rsidR="005418C2" w:rsidRDefault="005418C2">
              <w:pPr>
                <w:pStyle w:val="Footer"/>
                <w:tabs>
                  <w:tab w:val="clear" w:pos="9072"/>
                  <w:tab w:val="right" w:pos="13193"/>
                </w:tabs>
                <w:ind w:left="362"/>
                <w:jc w:val="both"/>
                <w:rPr>
                  <w:sz w:val="16"/>
                  <w:szCs w:val="16"/>
                </w:rPr>
              </w:pPr>
            </w:p>
          </w:tc>
        </w:tr>
      </w:tbl>
      <w:p w:rsidR="00E21164" w:rsidRPr="005418C2" w:rsidRDefault="005103C3" w:rsidP="005418C2">
        <w:pPr>
          <w:pStyle w:val="Footer"/>
          <w:rPr>
            <w:sz w:val="8"/>
          </w:rPr>
        </w:pPr>
      </w:p>
    </w:sdtContent>
  </w:sdt>
  <w:p w:rsidR="00E21164" w:rsidRDefault="00E21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C8" w:rsidRDefault="003451C8" w:rsidP="009B651D">
      <w:r>
        <w:separator/>
      </w:r>
    </w:p>
  </w:footnote>
  <w:footnote w:type="continuationSeparator" w:id="0">
    <w:p w:rsidR="003451C8" w:rsidRDefault="003451C8" w:rsidP="009B6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94" w:rsidRDefault="005103C3" w:rsidP="006B61E4">
    <w:pPr>
      <w:pStyle w:val="Header"/>
      <w:ind w:left="-1411" w:firstLine="571"/>
    </w:pPr>
    <w:r>
      <w:rPr>
        <w:noProof/>
        <w:lang w:val="en-US"/>
      </w:rPr>
      <w:pict>
        <v:shapetype id="_x0000_t32" coordsize="21600,21600" o:spt="32" o:oned="t" path="m,l21600,21600e" filled="f">
          <v:path arrowok="t" fillok="f" o:connecttype="none"/>
          <o:lock v:ext="edit" shapetype="t"/>
        </v:shapetype>
        <v:shape id="_x0000_s30722" type="#_x0000_t32" style="position:absolute;left:0;text-align:left;margin-left:0;margin-top:84.1pt;width:708pt;height:0;z-index:251658240" o:connectortype="straight" strokecolor="#009"/>
      </w:pict>
    </w:r>
    <w:r w:rsidR="00E63794" w:rsidRPr="00E63794">
      <w:rPr>
        <w:noProof/>
        <w:lang w:val="en-US"/>
      </w:rPr>
      <w:drawing>
        <wp:inline distT="0" distB="0" distL="0" distR="0">
          <wp:extent cx="10068460" cy="1162050"/>
          <wp:effectExtent l="19050" t="0" r="89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15937" cy="11790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07F2B"/>
    <w:multiLevelType w:val="hybridMultilevel"/>
    <w:tmpl w:val="F1CA99BC"/>
    <w:lvl w:ilvl="0" w:tplc="00E83AF8">
      <w:start w:val="1"/>
      <w:numFmt w:val="bullet"/>
      <w:lvlText w:val="̶"/>
      <w:lvlJc w:val="left"/>
      <w:pPr>
        <w:ind w:left="118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6082">
      <o:colormenu v:ext="edit" strokecolor="#009"/>
    </o:shapedefaults>
    <o:shapelayout v:ext="edit">
      <o:idmap v:ext="edit" data="30"/>
      <o:rules v:ext="edit">
        <o:r id="V:Rule2" type="connector" idref="#_x0000_s30722"/>
      </o:rules>
    </o:shapelayout>
  </w:hdrShapeDefaults>
  <w:footnotePr>
    <w:footnote w:id="-1"/>
    <w:footnote w:id="0"/>
  </w:footnotePr>
  <w:endnotePr>
    <w:endnote w:id="-1"/>
    <w:endnote w:id="0"/>
  </w:endnotePr>
  <w:compat/>
  <w:rsids>
    <w:rsidRoot w:val="002137C4"/>
    <w:rsid w:val="00014CBC"/>
    <w:rsid w:val="00021333"/>
    <w:rsid w:val="000311AC"/>
    <w:rsid w:val="00031D42"/>
    <w:rsid w:val="00034F45"/>
    <w:rsid w:val="00036AA6"/>
    <w:rsid w:val="0005540A"/>
    <w:rsid w:val="00057777"/>
    <w:rsid w:val="000649AB"/>
    <w:rsid w:val="00075132"/>
    <w:rsid w:val="000821B5"/>
    <w:rsid w:val="00087694"/>
    <w:rsid w:val="000A2703"/>
    <w:rsid w:val="000B2740"/>
    <w:rsid w:val="000C1E96"/>
    <w:rsid w:val="000D3D9C"/>
    <w:rsid w:val="000E0B15"/>
    <w:rsid w:val="000E2DDD"/>
    <w:rsid w:val="0012444D"/>
    <w:rsid w:val="00124BA5"/>
    <w:rsid w:val="00127B27"/>
    <w:rsid w:val="00150016"/>
    <w:rsid w:val="00155A58"/>
    <w:rsid w:val="001900BD"/>
    <w:rsid w:val="00194A61"/>
    <w:rsid w:val="00195DD9"/>
    <w:rsid w:val="001D6822"/>
    <w:rsid w:val="001E68C3"/>
    <w:rsid w:val="001F18AC"/>
    <w:rsid w:val="001F2C66"/>
    <w:rsid w:val="002043E4"/>
    <w:rsid w:val="002136A8"/>
    <w:rsid w:val="002137C4"/>
    <w:rsid w:val="00223D9D"/>
    <w:rsid w:val="0023516A"/>
    <w:rsid w:val="002575BF"/>
    <w:rsid w:val="00282B36"/>
    <w:rsid w:val="0029067E"/>
    <w:rsid w:val="002933FF"/>
    <w:rsid w:val="00294387"/>
    <w:rsid w:val="00296C68"/>
    <w:rsid w:val="002B39A7"/>
    <w:rsid w:val="002C103D"/>
    <w:rsid w:val="00302AB3"/>
    <w:rsid w:val="00307D34"/>
    <w:rsid w:val="00307E3D"/>
    <w:rsid w:val="00316E1A"/>
    <w:rsid w:val="003215FE"/>
    <w:rsid w:val="00326494"/>
    <w:rsid w:val="00343B6B"/>
    <w:rsid w:val="003451C8"/>
    <w:rsid w:val="0034581B"/>
    <w:rsid w:val="00345C9B"/>
    <w:rsid w:val="00361172"/>
    <w:rsid w:val="003821BE"/>
    <w:rsid w:val="00391841"/>
    <w:rsid w:val="003B4302"/>
    <w:rsid w:val="003C3D71"/>
    <w:rsid w:val="003C536A"/>
    <w:rsid w:val="003D2147"/>
    <w:rsid w:val="003D35E7"/>
    <w:rsid w:val="003D5B08"/>
    <w:rsid w:val="003F474D"/>
    <w:rsid w:val="00401653"/>
    <w:rsid w:val="00411210"/>
    <w:rsid w:val="00417625"/>
    <w:rsid w:val="00441401"/>
    <w:rsid w:val="00453145"/>
    <w:rsid w:val="00456570"/>
    <w:rsid w:val="0046249F"/>
    <w:rsid w:val="00493A4D"/>
    <w:rsid w:val="004A1DC0"/>
    <w:rsid w:val="004A7657"/>
    <w:rsid w:val="004C468E"/>
    <w:rsid w:val="004E1FA4"/>
    <w:rsid w:val="004E677A"/>
    <w:rsid w:val="004E7514"/>
    <w:rsid w:val="004E7B00"/>
    <w:rsid w:val="004F7B1B"/>
    <w:rsid w:val="005103C3"/>
    <w:rsid w:val="00514B9E"/>
    <w:rsid w:val="005418C2"/>
    <w:rsid w:val="0056005F"/>
    <w:rsid w:val="00563596"/>
    <w:rsid w:val="00571D96"/>
    <w:rsid w:val="005752D6"/>
    <w:rsid w:val="0059200B"/>
    <w:rsid w:val="00595259"/>
    <w:rsid w:val="005A703C"/>
    <w:rsid w:val="005D3632"/>
    <w:rsid w:val="0061577A"/>
    <w:rsid w:val="006372C0"/>
    <w:rsid w:val="00654CB8"/>
    <w:rsid w:val="00676C6D"/>
    <w:rsid w:val="00686E53"/>
    <w:rsid w:val="006A44E7"/>
    <w:rsid w:val="006B06CB"/>
    <w:rsid w:val="006B2E2D"/>
    <w:rsid w:val="006B61E4"/>
    <w:rsid w:val="006D596C"/>
    <w:rsid w:val="00705E10"/>
    <w:rsid w:val="00707C29"/>
    <w:rsid w:val="00731B8A"/>
    <w:rsid w:val="0073334B"/>
    <w:rsid w:val="00736107"/>
    <w:rsid w:val="007409EA"/>
    <w:rsid w:val="007422F2"/>
    <w:rsid w:val="007819DE"/>
    <w:rsid w:val="00781F3A"/>
    <w:rsid w:val="007A0DA8"/>
    <w:rsid w:val="007B2069"/>
    <w:rsid w:val="007C6338"/>
    <w:rsid w:val="007D3DF3"/>
    <w:rsid w:val="007E4C0E"/>
    <w:rsid w:val="008045DC"/>
    <w:rsid w:val="008066BA"/>
    <w:rsid w:val="00816074"/>
    <w:rsid w:val="00836284"/>
    <w:rsid w:val="0084427E"/>
    <w:rsid w:val="008472D8"/>
    <w:rsid w:val="008529B9"/>
    <w:rsid w:val="0086663E"/>
    <w:rsid w:val="0087226D"/>
    <w:rsid w:val="0087321C"/>
    <w:rsid w:val="00876673"/>
    <w:rsid w:val="00877283"/>
    <w:rsid w:val="0088443D"/>
    <w:rsid w:val="0089204B"/>
    <w:rsid w:val="00894C57"/>
    <w:rsid w:val="008A4CD8"/>
    <w:rsid w:val="008D7228"/>
    <w:rsid w:val="008E3067"/>
    <w:rsid w:val="008F196D"/>
    <w:rsid w:val="008F28A3"/>
    <w:rsid w:val="0091427D"/>
    <w:rsid w:val="0092048F"/>
    <w:rsid w:val="0092681B"/>
    <w:rsid w:val="0092782F"/>
    <w:rsid w:val="00931F63"/>
    <w:rsid w:val="00935088"/>
    <w:rsid w:val="009376F5"/>
    <w:rsid w:val="009501FA"/>
    <w:rsid w:val="00963EC2"/>
    <w:rsid w:val="00973634"/>
    <w:rsid w:val="00980208"/>
    <w:rsid w:val="00994EF7"/>
    <w:rsid w:val="009A42A1"/>
    <w:rsid w:val="009B651D"/>
    <w:rsid w:val="009B7724"/>
    <w:rsid w:val="009D33D0"/>
    <w:rsid w:val="009D76D6"/>
    <w:rsid w:val="00A06F5D"/>
    <w:rsid w:val="00A11188"/>
    <w:rsid w:val="00A13297"/>
    <w:rsid w:val="00A143BE"/>
    <w:rsid w:val="00A30960"/>
    <w:rsid w:val="00A52559"/>
    <w:rsid w:val="00A56639"/>
    <w:rsid w:val="00A6277B"/>
    <w:rsid w:val="00A84CF5"/>
    <w:rsid w:val="00A873F3"/>
    <w:rsid w:val="00A953BF"/>
    <w:rsid w:val="00A9710F"/>
    <w:rsid w:val="00AA1718"/>
    <w:rsid w:val="00AA2395"/>
    <w:rsid w:val="00AD0A5D"/>
    <w:rsid w:val="00AD3E3B"/>
    <w:rsid w:val="00AF27A0"/>
    <w:rsid w:val="00B00D11"/>
    <w:rsid w:val="00B1373B"/>
    <w:rsid w:val="00B26B0E"/>
    <w:rsid w:val="00B3593E"/>
    <w:rsid w:val="00B37129"/>
    <w:rsid w:val="00B45B0B"/>
    <w:rsid w:val="00B60142"/>
    <w:rsid w:val="00B634C3"/>
    <w:rsid w:val="00B75E2B"/>
    <w:rsid w:val="00B8425B"/>
    <w:rsid w:val="00B84576"/>
    <w:rsid w:val="00BA0954"/>
    <w:rsid w:val="00BA379C"/>
    <w:rsid w:val="00BB714D"/>
    <w:rsid w:val="00BC6EFA"/>
    <w:rsid w:val="00BD19A8"/>
    <w:rsid w:val="00BD61B3"/>
    <w:rsid w:val="00BE623D"/>
    <w:rsid w:val="00C064EF"/>
    <w:rsid w:val="00C21A83"/>
    <w:rsid w:val="00C36C64"/>
    <w:rsid w:val="00C37C3F"/>
    <w:rsid w:val="00C40F27"/>
    <w:rsid w:val="00C41043"/>
    <w:rsid w:val="00C432E5"/>
    <w:rsid w:val="00C577FD"/>
    <w:rsid w:val="00C67373"/>
    <w:rsid w:val="00C73098"/>
    <w:rsid w:val="00C944F0"/>
    <w:rsid w:val="00CA45C6"/>
    <w:rsid w:val="00CB260E"/>
    <w:rsid w:val="00CD53CC"/>
    <w:rsid w:val="00CD787C"/>
    <w:rsid w:val="00D012FC"/>
    <w:rsid w:val="00D03E87"/>
    <w:rsid w:val="00D102EA"/>
    <w:rsid w:val="00D1312A"/>
    <w:rsid w:val="00D3530B"/>
    <w:rsid w:val="00D53A3E"/>
    <w:rsid w:val="00D62BF2"/>
    <w:rsid w:val="00D9172A"/>
    <w:rsid w:val="00D954B5"/>
    <w:rsid w:val="00DA7CB4"/>
    <w:rsid w:val="00DF7051"/>
    <w:rsid w:val="00E05C97"/>
    <w:rsid w:val="00E21164"/>
    <w:rsid w:val="00E220EE"/>
    <w:rsid w:val="00E40AE2"/>
    <w:rsid w:val="00E418AF"/>
    <w:rsid w:val="00E50E5A"/>
    <w:rsid w:val="00E5445D"/>
    <w:rsid w:val="00E63794"/>
    <w:rsid w:val="00E64A56"/>
    <w:rsid w:val="00E97A91"/>
    <w:rsid w:val="00EA6E45"/>
    <w:rsid w:val="00EB6069"/>
    <w:rsid w:val="00EC6A00"/>
    <w:rsid w:val="00ED57A3"/>
    <w:rsid w:val="00EE7FE7"/>
    <w:rsid w:val="00F06CB8"/>
    <w:rsid w:val="00F3457F"/>
    <w:rsid w:val="00F54719"/>
    <w:rsid w:val="00F73728"/>
    <w:rsid w:val="00F743A8"/>
    <w:rsid w:val="00F757E4"/>
    <w:rsid w:val="00F92205"/>
    <w:rsid w:val="00FD5919"/>
    <w:rsid w:val="00FE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009"/>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o-RO"/>
    </w:rPr>
  </w:style>
  <w:style w:type="paragraph" w:styleId="Heading3">
    <w:name w:val="heading 3"/>
    <w:basedOn w:val="Normal"/>
    <w:next w:val="Normal"/>
    <w:link w:val="Heading3Char"/>
    <w:qFormat/>
    <w:rsid w:val="00B26B0E"/>
    <w:pPr>
      <w:keepNext/>
      <w:overflowPunct/>
      <w:autoSpaceDE/>
      <w:autoSpaceDN/>
      <w:adjustRightInd/>
      <w:spacing w:before="240" w:after="60"/>
      <w:textAlignment w:val="auto"/>
      <w:outlineLvl w:val="2"/>
    </w:pPr>
    <w:rPr>
      <w:rFonts w:ascii="Arial" w:hAnsi="Arial" w:cs="Arial"/>
      <w:b/>
      <w:bCs/>
      <w:sz w:val="26"/>
      <w:szCs w:val="26"/>
      <w:lang w:eastAsia="en-US"/>
    </w:rPr>
  </w:style>
  <w:style w:type="paragraph" w:styleId="Heading5">
    <w:name w:val="heading 5"/>
    <w:basedOn w:val="Normal"/>
    <w:next w:val="Normal"/>
    <w:link w:val="Heading5Char"/>
    <w:qFormat/>
    <w:rsid w:val="00B26B0E"/>
    <w:pPr>
      <w:overflowPunct/>
      <w:autoSpaceDE/>
      <w:autoSpaceDN/>
      <w:adjustRightInd/>
      <w:spacing w:before="240" w:after="60"/>
      <w:textAlignment w:val="auto"/>
      <w:outlineLvl w:val="4"/>
    </w:pPr>
    <w:rPr>
      <w:b/>
      <w:bCs/>
      <w:i/>
      <w:iCs/>
      <w:sz w:val="26"/>
      <w:szCs w:val="26"/>
      <w:lang w:eastAsia="en-US"/>
    </w:rPr>
  </w:style>
  <w:style w:type="paragraph" w:styleId="Heading6">
    <w:name w:val="heading 6"/>
    <w:basedOn w:val="Normal"/>
    <w:next w:val="Normal"/>
    <w:link w:val="Heading6Char"/>
    <w:qFormat/>
    <w:rsid w:val="00B26B0E"/>
    <w:pPr>
      <w:overflowPunct/>
      <w:autoSpaceDE/>
      <w:autoSpaceDN/>
      <w:adjustRightInd/>
      <w:spacing w:before="240" w:after="60"/>
      <w:textAlignment w:val="auto"/>
      <w:outlineLvl w:val="5"/>
    </w:pPr>
    <w:rPr>
      <w:b/>
      <w:bCs/>
      <w:sz w:val="22"/>
      <w:szCs w:val="22"/>
      <w:lang w:eastAsia="en-US"/>
    </w:rPr>
  </w:style>
  <w:style w:type="paragraph" w:styleId="Heading9">
    <w:name w:val="heading 9"/>
    <w:basedOn w:val="Normal"/>
    <w:next w:val="Normal"/>
    <w:link w:val="Heading9Char"/>
    <w:qFormat/>
    <w:rsid w:val="00B26B0E"/>
    <w:pPr>
      <w:overflowPunct/>
      <w:autoSpaceDE/>
      <w:autoSpaceDN/>
      <w:adjustRightInd/>
      <w:spacing w:before="240" w:after="60"/>
      <w:textAlignment w:val="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rsid w:val="009B651D"/>
  </w:style>
  <w:style w:type="paragraph" w:styleId="Footer">
    <w:name w:val="footer"/>
    <w:basedOn w:val="Normal"/>
    <w:link w:val="FooterChar"/>
    <w:uiPriority w:val="99"/>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9B651D"/>
  </w:style>
  <w:style w:type="paragraph" w:styleId="BalloonText">
    <w:name w:val="Balloon Text"/>
    <w:basedOn w:val="Normal"/>
    <w:link w:val="BalloonTextChar"/>
    <w:uiPriority w:val="99"/>
    <w:semiHidden/>
    <w:unhideWhenUsed/>
    <w:rsid w:val="009B651D"/>
    <w:pPr>
      <w:overflowPunct/>
      <w:autoSpaceDE/>
      <w:autoSpaceDN/>
      <w:adjustRightInd/>
      <w:textAlignment w:val="auto"/>
    </w:pPr>
    <w:rPr>
      <w:rFonts w:ascii="Tahoma" w:eastAsiaTheme="minorHAnsi" w:hAnsi="Tahoma" w:cs="Tahoma"/>
      <w:sz w:val="16"/>
      <w:szCs w:val="16"/>
      <w:lang w:val="ro-RO" w:eastAsia="en-US"/>
    </w:rPr>
  </w:style>
  <w:style w:type="character" w:customStyle="1" w:styleId="BalloonTextChar">
    <w:name w:val="Balloon Text Char"/>
    <w:basedOn w:val="DefaultParagraphFont"/>
    <w:link w:val="BalloonText"/>
    <w:uiPriority w:val="99"/>
    <w:semiHidden/>
    <w:rsid w:val="009B651D"/>
    <w:rPr>
      <w:rFonts w:ascii="Tahoma" w:hAnsi="Tahoma" w:cs="Tahoma"/>
      <w:sz w:val="16"/>
      <w:szCs w:val="16"/>
    </w:rPr>
  </w:style>
  <w:style w:type="table" w:styleId="TableGrid">
    <w:name w:val="Table Grid"/>
    <w:basedOn w:val="TableNormal"/>
    <w:uiPriority w:val="59"/>
    <w:rsid w:val="009B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26B0E"/>
    <w:rPr>
      <w:rFonts w:ascii="Arial" w:eastAsia="Times New Roman" w:hAnsi="Arial" w:cs="Arial"/>
      <w:b/>
      <w:bCs/>
      <w:sz w:val="26"/>
      <w:szCs w:val="26"/>
      <w:lang w:val="en-US"/>
    </w:rPr>
  </w:style>
  <w:style w:type="character" w:customStyle="1" w:styleId="Heading5Char">
    <w:name w:val="Heading 5 Char"/>
    <w:basedOn w:val="DefaultParagraphFont"/>
    <w:link w:val="Heading5"/>
    <w:rsid w:val="00B26B0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26B0E"/>
    <w:rPr>
      <w:rFonts w:ascii="Times New Roman" w:eastAsia="Times New Roman" w:hAnsi="Times New Roman" w:cs="Times New Roman"/>
      <w:b/>
      <w:bCs/>
      <w:lang w:val="en-US"/>
    </w:rPr>
  </w:style>
  <w:style w:type="character" w:customStyle="1" w:styleId="Heading9Char">
    <w:name w:val="Heading 9 Char"/>
    <w:basedOn w:val="DefaultParagraphFont"/>
    <w:link w:val="Heading9"/>
    <w:rsid w:val="00B26B0E"/>
    <w:rPr>
      <w:rFonts w:ascii="Arial" w:eastAsia="Times New Roman" w:hAnsi="Arial" w:cs="Arial"/>
      <w:lang w:val="en-US"/>
    </w:rPr>
  </w:style>
  <w:style w:type="paragraph" w:customStyle="1" w:styleId="Default">
    <w:name w:val="Default"/>
    <w:rsid w:val="00B26B0E"/>
    <w:pPr>
      <w:autoSpaceDE w:val="0"/>
      <w:autoSpaceDN w:val="0"/>
      <w:adjustRightInd w:val="0"/>
      <w:spacing w:after="0" w:line="240" w:lineRule="auto"/>
    </w:pPr>
    <w:rPr>
      <w:rFonts w:ascii="Arial" w:hAnsi="Arial" w:cs="Arial"/>
      <w:color w:val="000000"/>
      <w:sz w:val="24"/>
      <w:szCs w:val="24"/>
    </w:rPr>
  </w:style>
  <w:style w:type="paragraph" w:customStyle="1" w:styleId="Style12">
    <w:name w:val="Style12"/>
    <w:basedOn w:val="Normal"/>
    <w:rsid w:val="00B26B0E"/>
    <w:pPr>
      <w:widowControl w:val="0"/>
      <w:overflowPunct/>
      <w:textAlignment w:val="auto"/>
    </w:pPr>
    <w:rPr>
      <w:szCs w:val="24"/>
      <w:lang w:val="ro-RO"/>
    </w:rPr>
  </w:style>
  <w:style w:type="paragraph" w:customStyle="1" w:styleId="Titlu11">
    <w:name w:val="Titlu 11"/>
    <w:basedOn w:val="Normal"/>
    <w:next w:val="Normal"/>
    <w:rsid w:val="00B26B0E"/>
    <w:pPr>
      <w:overflowPunct/>
      <w:textAlignment w:val="auto"/>
    </w:pPr>
    <w:rPr>
      <w:rFonts w:ascii="Arial" w:hAnsi="Arial"/>
      <w:szCs w:val="24"/>
      <w:lang w:eastAsia="en-US"/>
    </w:rPr>
  </w:style>
</w:styles>
</file>

<file path=word/webSettings.xml><?xml version="1.0" encoding="utf-8"?>
<w:webSettings xmlns:r="http://schemas.openxmlformats.org/officeDocument/2006/relationships" xmlns:w="http://schemas.openxmlformats.org/wordprocessingml/2006/main">
  <w:divs>
    <w:div w:id="682822423">
      <w:bodyDiv w:val="1"/>
      <w:marLeft w:val="0"/>
      <w:marRight w:val="0"/>
      <w:marTop w:val="0"/>
      <w:marBottom w:val="0"/>
      <w:divBdr>
        <w:top w:val="none" w:sz="0" w:space="0" w:color="auto"/>
        <w:left w:val="none" w:sz="0" w:space="0" w:color="auto"/>
        <w:bottom w:val="none" w:sz="0" w:space="0" w:color="auto"/>
        <w:right w:val="none" w:sz="0" w:space="0" w:color="auto"/>
      </w:divBdr>
    </w:div>
    <w:div w:id="13619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F8862-7DA4-4C24-83FB-82BF25B3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4273</Words>
  <Characters>24359</Characters>
  <Application>Microsoft Office Word</Application>
  <DocSecurity>0</DocSecurity>
  <Lines>202</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Eni</dc:creator>
  <cp:lastModifiedBy>Mircea</cp:lastModifiedBy>
  <cp:revision>9</cp:revision>
  <cp:lastPrinted>2014-06-10T11:27:00Z</cp:lastPrinted>
  <dcterms:created xsi:type="dcterms:W3CDTF">2015-01-25T08:25:00Z</dcterms:created>
  <dcterms:modified xsi:type="dcterms:W3CDTF">2015-02-05T08:24:00Z</dcterms:modified>
</cp:coreProperties>
</file>