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B179" w14:textId="7F439440" w:rsidR="003B5F52" w:rsidRPr="00334495" w:rsidRDefault="003B5F52" w:rsidP="003B5F52">
      <w:pPr>
        <w:pStyle w:val="BodyText"/>
        <w:tabs>
          <w:tab w:val="left" w:pos="601"/>
        </w:tabs>
        <w:kinsoku w:val="0"/>
        <w:overflowPunct w:val="0"/>
        <w:spacing w:before="0" w:after="120"/>
        <w:ind w:right="412"/>
        <w:jc w:val="right"/>
        <w:rPr>
          <w:rFonts w:ascii="Arial Nova Light" w:hAnsi="Arial Nova Light"/>
          <w:b/>
          <w:i/>
          <w:iCs/>
          <w:color w:val="007E39"/>
          <w:sz w:val="24"/>
          <w:szCs w:val="24"/>
          <w:lang w:val="ro-RO"/>
        </w:rPr>
      </w:pPr>
      <w:r w:rsidRPr="00334495">
        <w:rPr>
          <w:rFonts w:ascii="Arial Nova Light" w:hAnsi="Arial Nova Light"/>
          <w:b/>
          <w:i/>
          <w:iCs/>
          <w:color w:val="007E39"/>
          <w:sz w:val="24"/>
          <w:szCs w:val="24"/>
        </w:rPr>
        <w:t>Annex 1</w:t>
      </w:r>
    </w:p>
    <w:p w14:paraId="469DE7AB" w14:textId="7D72B038" w:rsidR="00907A41" w:rsidRPr="00334495" w:rsidRDefault="00907A41" w:rsidP="002D776E">
      <w:pPr>
        <w:pStyle w:val="BodyText"/>
        <w:tabs>
          <w:tab w:val="left" w:pos="601"/>
        </w:tabs>
        <w:kinsoku w:val="0"/>
        <w:overflowPunct w:val="0"/>
        <w:ind w:right="412"/>
        <w:jc w:val="center"/>
        <w:rPr>
          <w:rFonts w:ascii="Arial Nova Light" w:hAnsi="Arial Nova Light"/>
          <w:b/>
          <w:bCs/>
          <w:color w:val="007E39"/>
          <w:spacing w:val="1"/>
          <w:sz w:val="28"/>
          <w:szCs w:val="28"/>
          <w:lang w:val="ro-RO"/>
        </w:rPr>
      </w:pPr>
      <w:r w:rsidRPr="00334495">
        <w:rPr>
          <w:rFonts w:ascii="Arial Nova Light" w:hAnsi="Arial Nova Light"/>
          <w:b/>
          <w:bCs/>
          <w:color w:val="007E39"/>
          <w:sz w:val="28"/>
          <w:szCs w:val="28"/>
        </w:rPr>
        <w:t>Standards and indicators for external quality assessment in order to maintain accreditation and grant EUR-ACE certification to a bachelor's degree programme</w:t>
      </w:r>
    </w:p>
    <w:p w14:paraId="60F14C14" w14:textId="77777777" w:rsidR="002D776E" w:rsidRPr="00334495" w:rsidRDefault="002D776E" w:rsidP="002D776E">
      <w:pPr>
        <w:pStyle w:val="BodyText"/>
        <w:tabs>
          <w:tab w:val="left" w:pos="601"/>
        </w:tabs>
        <w:kinsoku w:val="0"/>
        <w:overflowPunct w:val="0"/>
        <w:spacing w:before="0"/>
        <w:ind w:right="412"/>
        <w:jc w:val="center"/>
        <w:rPr>
          <w:rFonts w:ascii="Arial Nova Light" w:hAnsi="Arial Nova Light"/>
          <w:b/>
          <w:bCs/>
          <w:color w:val="007E39"/>
          <w:sz w:val="24"/>
          <w:szCs w:val="24"/>
          <w:lang w:val="ro-RO"/>
        </w:rPr>
      </w:pPr>
    </w:p>
    <w:tbl>
      <w:tblPr>
        <w:tblStyle w:val="TableGrid"/>
        <w:tblW w:w="5000" w:type="pct"/>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911"/>
      </w:tblGrid>
      <w:tr w:rsidR="00105EB9" w:rsidRPr="00334495" w14:paraId="65A826D9" w14:textId="77777777" w:rsidTr="00C65E7A">
        <w:tc>
          <w:tcPr>
            <w:tcW w:w="5000" w:type="pct"/>
            <w:shd w:val="clear" w:color="auto" w:fill="E2EFD9" w:themeFill="accent6" w:themeFillTint="33"/>
          </w:tcPr>
          <w:p w14:paraId="752D4B21" w14:textId="57439BCC" w:rsidR="004A4449" w:rsidRPr="00334495" w:rsidRDefault="005906F2" w:rsidP="00E14D72">
            <w:pPr>
              <w:pStyle w:val="BodyText"/>
              <w:tabs>
                <w:tab w:val="left" w:pos="601"/>
              </w:tabs>
              <w:kinsoku w:val="0"/>
              <w:overflowPunct w:val="0"/>
              <w:spacing w:before="120" w:after="120" w:line="276" w:lineRule="auto"/>
              <w:ind w:left="0"/>
              <w:jc w:val="center"/>
              <w:rPr>
                <w:rFonts w:ascii="Arial Nova Light" w:hAnsi="Arial Nova Light"/>
                <w:b/>
                <w:bCs/>
                <w:color w:val="385623" w:themeColor="accent6" w:themeShade="80"/>
                <w:sz w:val="22"/>
                <w:szCs w:val="22"/>
                <w:lang w:val="ro-RO"/>
              </w:rPr>
            </w:pPr>
            <w:r w:rsidRPr="00334495">
              <w:rPr>
                <w:rFonts w:ascii="Arial Nova Light" w:eastAsia="Times New Roman" w:hAnsi="Arial Nova Light"/>
                <w:b/>
                <w:bCs/>
                <w:color w:val="385623" w:themeColor="accent6" w:themeShade="80"/>
                <w:sz w:val="22"/>
                <w:szCs w:val="22"/>
              </w:rPr>
              <w:t>AREA A. Institutional capacity</w:t>
            </w:r>
          </w:p>
        </w:tc>
      </w:tr>
      <w:tr w:rsidR="007F1321" w:rsidRPr="00334495" w14:paraId="376AA778" w14:textId="77777777" w:rsidTr="00C65E7A">
        <w:tc>
          <w:tcPr>
            <w:tcW w:w="5000" w:type="pct"/>
          </w:tcPr>
          <w:p w14:paraId="09D1244F" w14:textId="45B7562D" w:rsidR="007F1321" w:rsidRPr="00334495" w:rsidRDefault="007F1321" w:rsidP="00E14D72">
            <w:pPr>
              <w:pStyle w:val="TableParagraph"/>
              <w:kinsoku w:val="0"/>
              <w:overflowPunct w:val="0"/>
              <w:spacing w:line="276" w:lineRule="auto"/>
              <w:jc w:val="both"/>
              <w:rPr>
                <w:rFonts w:ascii="Arial Nova Light" w:hAnsi="Arial Nova Light" w:cs="Arial"/>
                <w:b/>
                <w:bCs/>
                <w:color w:val="007E39"/>
                <w:sz w:val="22"/>
                <w:szCs w:val="22"/>
                <w:lang w:val="ro-RO"/>
              </w:rPr>
            </w:pPr>
            <w:r w:rsidRPr="00334495">
              <w:rPr>
                <w:rFonts w:ascii="Arial Nova Light" w:hAnsi="Arial Nova Light" w:cs="Arial"/>
                <w:b/>
                <w:bCs/>
                <w:color w:val="007E39"/>
                <w:szCs w:val="22"/>
              </w:rPr>
              <w:t>Criterion A.1. Managerial and administrative institutional structures and processes, involving students and other stakeholders</w:t>
            </w:r>
          </w:p>
        </w:tc>
      </w:tr>
      <w:tr w:rsidR="007F1321" w:rsidRPr="00334495" w14:paraId="4AE3539F" w14:textId="77777777" w:rsidTr="00C65E7A">
        <w:tc>
          <w:tcPr>
            <w:tcW w:w="5000" w:type="pct"/>
          </w:tcPr>
          <w:p w14:paraId="2E922E6E" w14:textId="19D410E4" w:rsidR="007F1321" w:rsidRPr="00334495" w:rsidRDefault="007F1321" w:rsidP="00D54420">
            <w:pPr>
              <w:pStyle w:val="TableParagraph"/>
              <w:kinsoku w:val="0"/>
              <w:overflowPunct w:val="0"/>
              <w:jc w:val="both"/>
              <w:rPr>
                <w:rFonts w:ascii="Arial Nova Light" w:hAnsi="Arial Nova Light" w:cs="Arial"/>
                <w:color w:val="007E39"/>
                <w:sz w:val="22"/>
                <w:szCs w:val="22"/>
                <w:lang w:val="ro-RO"/>
              </w:rPr>
            </w:pPr>
            <w:r w:rsidRPr="00334495">
              <w:rPr>
                <w:rFonts w:ascii="Arial Nova Light" w:eastAsia="Times New Roman" w:hAnsi="Arial Nova Light" w:cs="Arial"/>
                <w:color w:val="007E39"/>
                <w:sz w:val="22"/>
                <w:szCs w:val="22"/>
              </w:rPr>
              <w:t xml:space="preserve">Standard S.A.1.1. </w:t>
            </w:r>
            <w:r w:rsidRPr="00334495">
              <w:rPr>
                <w:rFonts w:ascii="Arial Nova Light" w:hAnsi="Arial Nova Light" w:cs="Arial"/>
                <w:color w:val="007E39"/>
                <w:sz w:val="22"/>
                <w:szCs w:val="22"/>
                <w:u w:val="single"/>
              </w:rPr>
              <w:t>Organizational components and institutional processes</w:t>
            </w:r>
          </w:p>
          <w:p w14:paraId="5E0041A6" w14:textId="770D9C66" w:rsidR="007F1321" w:rsidRPr="00334495" w:rsidRDefault="007F1321" w:rsidP="00D54420">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HEI has in its structure organizational components that operate on the basis of appropriate competences, attributions, processes and application procedures, through which an effective management system is ensured. </w:t>
            </w:r>
          </w:p>
        </w:tc>
      </w:tr>
      <w:tr w:rsidR="000E4ACF" w:rsidRPr="00334495" w14:paraId="4C84B06B" w14:textId="77777777" w:rsidTr="00C65E7A">
        <w:tc>
          <w:tcPr>
            <w:tcW w:w="5000" w:type="pct"/>
          </w:tcPr>
          <w:p w14:paraId="5046F07C" w14:textId="02AD5F6B" w:rsidR="000E4ACF" w:rsidRPr="00334495" w:rsidRDefault="000E4ACF" w:rsidP="00D54420">
            <w:pPr>
              <w:pStyle w:val="TableParagraph"/>
              <w:kinsoku w:val="0"/>
              <w:overflowPunct w:val="0"/>
              <w:ind w:left="708"/>
              <w:jc w:val="both"/>
              <w:rPr>
                <w:rFonts w:ascii="Arial Nova Light" w:eastAsia="Times New Roman" w:hAnsi="Arial Nova Light" w:cs="Arial"/>
                <w:color w:val="70AD47" w:themeColor="accent6"/>
                <w:sz w:val="22"/>
                <w:szCs w:val="22"/>
                <w:lang w:val="ro-RO"/>
              </w:rPr>
            </w:pPr>
            <w:r w:rsidRPr="00334495">
              <w:rPr>
                <w:rFonts w:ascii="Arial Nova Light" w:eastAsia="Times New Roman" w:hAnsi="Arial Nova Light"/>
                <w:color w:val="007E39"/>
                <w:sz w:val="22"/>
                <w:szCs w:val="22"/>
              </w:rPr>
              <w:t xml:space="preserve">Indicator I.P.A.1.1.1 </w:t>
            </w:r>
            <w:r w:rsidRPr="00334495">
              <w:rPr>
                <w:rFonts w:ascii="Arial Nova Light" w:eastAsia="Times New Roman" w:hAnsi="Arial Nova Light" w:cs="Arial"/>
                <w:color w:val="333333"/>
                <w:sz w:val="22"/>
                <w:szCs w:val="22"/>
              </w:rPr>
              <w:t>In order to carry out the university program/field of studies, the HEI has adequate organizational components and a management system, the functioning of which is based on methodologies, regulations and procedures periodically revised, under the conditions of the law.</w:t>
            </w:r>
          </w:p>
        </w:tc>
      </w:tr>
      <w:tr w:rsidR="006179E9" w:rsidRPr="00334495" w14:paraId="5430C990" w14:textId="77777777" w:rsidTr="00C65E7A">
        <w:tc>
          <w:tcPr>
            <w:tcW w:w="5000" w:type="pct"/>
          </w:tcPr>
          <w:p w14:paraId="74F0551D" w14:textId="77777777" w:rsidR="00BE60E9" w:rsidRPr="00334495" w:rsidRDefault="00BE60E9" w:rsidP="00D54420">
            <w:pPr>
              <w:pStyle w:val="TableParagraph"/>
              <w:kinsoku w:val="0"/>
              <w:overflowPunct w:val="0"/>
              <w:jc w:val="both"/>
              <w:rPr>
                <w:rFonts w:ascii="Arial Nova Light" w:eastAsia="Times New Roman" w:hAnsi="Arial Nova Light" w:cs="Arial"/>
                <w:color w:val="007E39"/>
                <w:sz w:val="22"/>
                <w:szCs w:val="22"/>
                <w:lang w:val="ro-RO"/>
              </w:rPr>
            </w:pPr>
            <w:r w:rsidRPr="00334495">
              <w:rPr>
                <w:rFonts w:ascii="Arial Nova Light" w:eastAsia="Times New Roman" w:hAnsi="Arial Nova Light" w:cs="Arial"/>
                <w:color w:val="007E39"/>
                <w:sz w:val="22"/>
                <w:szCs w:val="22"/>
              </w:rPr>
              <w:t xml:space="preserve">Standard S.A.1.2. </w:t>
            </w:r>
            <w:r w:rsidRPr="00334495">
              <w:rPr>
                <w:rFonts w:ascii="Arial Nova Light" w:eastAsia="Times New Roman" w:hAnsi="Arial Nova Light" w:cs="Arial"/>
                <w:color w:val="007E39"/>
                <w:sz w:val="22"/>
                <w:szCs w:val="22"/>
                <w:u w:val="single"/>
              </w:rPr>
              <w:t xml:space="preserve">Stakeholder involvement </w:t>
            </w:r>
          </w:p>
          <w:p w14:paraId="10382003" w14:textId="1C7FFBEC" w:rsidR="006179E9" w:rsidRPr="00334495" w:rsidRDefault="00BE60E9" w:rsidP="00D54420">
            <w:pPr>
              <w:pStyle w:val="TableParagraph"/>
              <w:kinsoku w:val="0"/>
              <w:overflowPunct w:val="0"/>
              <w:jc w:val="both"/>
              <w:rPr>
                <w:rFonts w:ascii="Arial Nova Light" w:eastAsia="Times New Roman" w:hAnsi="Arial Nova Light"/>
                <w:color w:val="007E39"/>
                <w:sz w:val="22"/>
                <w:szCs w:val="22"/>
                <w:lang w:val="ro-RO"/>
              </w:rPr>
            </w:pPr>
            <w:r w:rsidRPr="00334495">
              <w:rPr>
                <w:rFonts w:ascii="Arial Nova Light" w:eastAsia="Times New Roman" w:hAnsi="Arial Nova Light" w:cs="Arial"/>
                <w:color w:val="007E39"/>
                <w:sz w:val="22"/>
                <w:szCs w:val="22"/>
              </w:rPr>
              <w:t>The HEI shall demonstrate that it involves relevant stakeholders in the development of methodologies and regulations, as well as application procedures.</w:t>
            </w:r>
          </w:p>
        </w:tc>
      </w:tr>
      <w:tr w:rsidR="006179E9" w:rsidRPr="00334495" w14:paraId="3D0AC836" w14:textId="77777777" w:rsidTr="00C65E7A">
        <w:tc>
          <w:tcPr>
            <w:tcW w:w="5000" w:type="pct"/>
          </w:tcPr>
          <w:p w14:paraId="049E03F7" w14:textId="4D4AFB26" w:rsidR="006179E9" w:rsidRPr="00334495" w:rsidRDefault="006179E9" w:rsidP="00D54420">
            <w:pPr>
              <w:pStyle w:val="TableParagraph"/>
              <w:kinsoku w:val="0"/>
              <w:overflowPunct w:val="0"/>
              <w:ind w:left="708"/>
              <w:rPr>
                <w:rFonts w:ascii="Arial Nova Light" w:eastAsia="Times New Roman" w:hAnsi="Arial Nova Light"/>
                <w:color w:val="70AD47" w:themeColor="accent6"/>
                <w:lang w:val="ro-RO"/>
              </w:rPr>
            </w:pPr>
            <w:r w:rsidRPr="00334495">
              <w:rPr>
                <w:rFonts w:ascii="Arial Nova Light" w:eastAsia="Times New Roman" w:hAnsi="Arial Nova Light"/>
                <w:color w:val="007E39"/>
                <w:sz w:val="22"/>
                <w:szCs w:val="22"/>
              </w:rPr>
              <w:t xml:space="preserve">Indicator </w:t>
            </w:r>
            <w:r w:rsidRPr="00334495">
              <w:rPr>
                <w:rFonts w:ascii="Arial Nova Light" w:eastAsia="Times New Roman" w:hAnsi="Arial Nova Light"/>
                <w:color w:val="007E39"/>
              </w:rPr>
              <w:t xml:space="preserve">I.P.A.1.2.1 </w:t>
            </w:r>
            <w:r w:rsidRPr="00334495">
              <w:rPr>
                <w:rFonts w:ascii="Arial Nova Light" w:eastAsia="Times New Roman" w:hAnsi="Arial Nova Light" w:cs="Arial"/>
                <w:color w:val="333333"/>
                <w:sz w:val="22"/>
                <w:szCs w:val="22"/>
              </w:rPr>
              <w:t>The opinions of the members of the faculty and department, respectively of the branch or extension and of other interested parties are taken into account in the process of adopting and revising the methodologies, regulations and application procedures.</w:t>
            </w:r>
          </w:p>
        </w:tc>
      </w:tr>
      <w:tr w:rsidR="006179E9" w:rsidRPr="00334495" w14:paraId="4A84BD7D" w14:textId="77777777" w:rsidTr="00C65E7A">
        <w:tc>
          <w:tcPr>
            <w:tcW w:w="5000" w:type="pct"/>
          </w:tcPr>
          <w:p w14:paraId="7B356586" w14:textId="32E2FC4D" w:rsidR="006179E9" w:rsidRPr="00334495" w:rsidRDefault="006179E9" w:rsidP="00D54420">
            <w:pPr>
              <w:pStyle w:val="BodyText"/>
              <w:tabs>
                <w:tab w:val="left" w:pos="601"/>
              </w:tabs>
              <w:kinsoku w:val="0"/>
              <w:overflowPunct w:val="0"/>
              <w:spacing w:before="0" w:line="360" w:lineRule="auto"/>
              <w:ind w:left="0"/>
              <w:jc w:val="both"/>
              <w:rPr>
                <w:rFonts w:ascii="Arial Nova Light" w:hAnsi="Arial Nova Light"/>
                <w:b/>
                <w:bCs/>
                <w:color w:val="007E39"/>
                <w:sz w:val="22"/>
                <w:szCs w:val="22"/>
                <w:lang w:val="ro-RO"/>
              </w:rPr>
            </w:pPr>
            <w:r w:rsidRPr="00334495">
              <w:rPr>
                <w:rFonts w:ascii="Arial Nova Light" w:hAnsi="Arial Nova Light"/>
                <w:b/>
                <w:bCs/>
                <w:color w:val="007E39"/>
                <w:sz w:val="24"/>
                <w:szCs w:val="22"/>
              </w:rPr>
              <w:t>Criterion A.2. Material base and optimization of its use</w:t>
            </w:r>
          </w:p>
        </w:tc>
      </w:tr>
      <w:tr w:rsidR="006179E9" w:rsidRPr="00334495" w14:paraId="3386FC32" w14:textId="77777777" w:rsidTr="00C65E7A">
        <w:tc>
          <w:tcPr>
            <w:tcW w:w="5000" w:type="pct"/>
          </w:tcPr>
          <w:p w14:paraId="48F5D703" w14:textId="77777777" w:rsidR="006179E9" w:rsidRPr="00334495" w:rsidRDefault="006179E9" w:rsidP="00D54420">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S.A.2.1. </w:t>
            </w:r>
            <w:r w:rsidRPr="00334495">
              <w:rPr>
                <w:rFonts w:ascii="Arial Nova Light" w:hAnsi="Arial Nova Light" w:cs="Arial"/>
                <w:color w:val="007E39"/>
                <w:sz w:val="22"/>
                <w:szCs w:val="22"/>
                <w:u w:val="single"/>
              </w:rPr>
              <w:t>Material Basis</w:t>
            </w:r>
          </w:p>
          <w:p w14:paraId="2CFE5170" w14:textId="64F45C99" w:rsidR="006179E9" w:rsidRPr="00334495" w:rsidRDefault="006179E9" w:rsidP="00D54420">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IÎS has immovable and movable property suitable for the development of the university program/field of study. </w:t>
            </w:r>
          </w:p>
        </w:tc>
      </w:tr>
      <w:tr w:rsidR="006179E9" w:rsidRPr="00334495" w14:paraId="470CEBE1" w14:textId="77777777" w:rsidTr="00C65E7A">
        <w:tc>
          <w:tcPr>
            <w:tcW w:w="5000" w:type="pct"/>
          </w:tcPr>
          <w:p w14:paraId="1E9BF948" w14:textId="77777777" w:rsidR="006179E9" w:rsidRPr="00334495" w:rsidRDefault="006179E9" w:rsidP="00D54420">
            <w:pPr>
              <w:pStyle w:val="TableParagraph"/>
              <w:kinsoku w:val="0"/>
              <w:overflowPunct w:val="0"/>
              <w:ind w:left="708"/>
              <w:jc w:val="both"/>
              <w:rPr>
                <w:rFonts w:ascii="Arial Nova Light" w:hAnsi="Arial Nova Light" w:cs="Arial"/>
                <w:color w:val="333333"/>
                <w:sz w:val="22"/>
                <w:szCs w:val="22"/>
                <w:lang w:val="ro-RO"/>
              </w:rPr>
            </w:pPr>
            <w:r w:rsidRPr="00334495">
              <w:rPr>
                <w:rFonts w:ascii="Arial Nova Light" w:eastAsia="Times New Roman" w:hAnsi="Arial Nova Light"/>
                <w:color w:val="007E39"/>
                <w:sz w:val="22"/>
                <w:szCs w:val="22"/>
              </w:rPr>
              <w:t xml:space="preserve">The I.P.A.2.1.1 </w:t>
            </w:r>
            <w:r w:rsidRPr="00334495">
              <w:rPr>
                <w:rFonts w:ascii="Arial Nova Light" w:hAnsi="Arial Nova Light" w:cs="Arial"/>
                <w:color w:val="333333"/>
                <w:sz w:val="22"/>
                <w:szCs w:val="22"/>
              </w:rPr>
              <w:t xml:space="preserve"> indicator The HEI has, under the law, spaces dedicated to the appropriate educational, research and administrative processes, as well as for services for students, doctoral students and trainees, which ensure a favorable environment for life and study, including for those with disabilities. Optimal spaces for staff activities are also provided. They are adequately equipped.</w:t>
            </w:r>
          </w:p>
          <w:p w14:paraId="32141240" w14:textId="69F0D6B6" w:rsidR="0032495D" w:rsidRPr="00334495" w:rsidRDefault="0032495D" w:rsidP="0032495D">
            <w:pPr>
              <w:pStyle w:val="TableParagraph"/>
              <w:kinsoku w:val="0"/>
              <w:overflowPunct w:val="0"/>
              <w:spacing w:before="240"/>
              <w:ind w:left="708"/>
              <w:jc w:val="both"/>
              <w:rPr>
                <w:rFonts w:ascii="Arial Nova Light" w:hAnsi="Arial Nova Light" w:cs="Arial"/>
                <w:color w:val="333333"/>
                <w:sz w:val="22"/>
                <w:szCs w:val="22"/>
                <w:lang w:val="ro-RO"/>
              </w:rPr>
            </w:pPr>
            <w:r w:rsidRPr="00334495">
              <w:rPr>
                <w:rFonts w:ascii="Arial Nova Light" w:hAnsi="Arial Nova Light" w:cs="Arial"/>
                <w:color w:val="333333"/>
                <w:sz w:val="22"/>
                <w:szCs w:val="22"/>
              </w:rPr>
              <w:t>The facilities made available to students, including the related equipment, are quantitatively and qualitatively adequate for the development of the objectives of the study program, as conceived and planned, and allow the application of study methods.</w:t>
            </w:r>
          </w:p>
        </w:tc>
      </w:tr>
      <w:tr w:rsidR="006179E9" w:rsidRPr="00334495" w14:paraId="0ADA9495" w14:textId="77777777" w:rsidTr="00C65E7A">
        <w:tc>
          <w:tcPr>
            <w:tcW w:w="5000" w:type="pct"/>
          </w:tcPr>
          <w:p w14:paraId="58022511" w14:textId="77777777" w:rsidR="006179E9" w:rsidRPr="00334495" w:rsidRDefault="006179E9" w:rsidP="00D54420">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S.A.2.2. </w:t>
            </w:r>
            <w:r w:rsidRPr="00334495">
              <w:rPr>
                <w:rFonts w:ascii="Arial Nova Light" w:hAnsi="Arial Nova Light" w:cs="Arial"/>
                <w:color w:val="007E39"/>
                <w:sz w:val="22"/>
                <w:szCs w:val="22"/>
                <w:u w:val="single"/>
              </w:rPr>
              <w:t>Material Base Management</w:t>
            </w:r>
          </w:p>
          <w:p w14:paraId="1E7F0B20" w14:textId="6554DD9B" w:rsidR="006179E9" w:rsidRPr="00334495" w:rsidRDefault="006179E9" w:rsidP="00D54420">
            <w:pPr>
              <w:pStyle w:val="BodyText"/>
              <w:tabs>
                <w:tab w:val="left" w:pos="601"/>
              </w:tabs>
              <w:kinsoku w:val="0"/>
              <w:overflowPunct w:val="0"/>
              <w:spacing w:before="0"/>
              <w:ind w:left="0"/>
              <w:jc w:val="both"/>
              <w:rPr>
                <w:rFonts w:ascii="Arial Nova Light" w:hAnsi="Arial Nova Light"/>
                <w:color w:val="000000"/>
                <w:sz w:val="22"/>
                <w:szCs w:val="22"/>
                <w:lang w:val="ro-RO"/>
              </w:rPr>
            </w:pPr>
            <w:r w:rsidRPr="00334495">
              <w:rPr>
                <w:rFonts w:ascii="Arial Nova Light" w:hAnsi="Arial Nova Light"/>
                <w:color w:val="007E39"/>
                <w:sz w:val="22"/>
                <w:szCs w:val="22"/>
              </w:rPr>
              <w:t>The organizational components optimally and sustainably manage the immovable and movable assets they use for the evaluated university program/field of study.</w:t>
            </w:r>
          </w:p>
        </w:tc>
      </w:tr>
      <w:tr w:rsidR="006179E9" w:rsidRPr="00334495" w14:paraId="05B05537" w14:textId="77777777" w:rsidTr="00C65E7A">
        <w:tc>
          <w:tcPr>
            <w:tcW w:w="5000" w:type="pct"/>
          </w:tcPr>
          <w:p w14:paraId="65C30554" w14:textId="765ED03F" w:rsidR="006179E9" w:rsidRPr="00334495" w:rsidRDefault="006179E9" w:rsidP="00E14D7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r w:rsidRPr="00334495">
              <w:rPr>
                <w:rFonts w:ascii="Arial Nova Light" w:hAnsi="Arial Nova Light"/>
                <w:color w:val="007E39"/>
                <w:sz w:val="22"/>
                <w:szCs w:val="22"/>
              </w:rPr>
              <w:t xml:space="preserve">Indicator I.P.A.2.2.1 </w:t>
            </w:r>
            <w:r w:rsidRPr="00334495">
              <w:rPr>
                <w:rFonts w:ascii="Arial Nova Light" w:hAnsi="Arial Nova Light" w:cs="Arial"/>
                <w:color w:val="333333"/>
                <w:sz w:val="22"/>
                <w:szCs w:val="22"/>
              </w:rPr>
              <w:t>Immovable and movable property are adequately maintained, so as to ensure optimal conditions for study, research and life, as well as for work.</w:t>
            </w:r>
          </w:p>
        </w:tc>
      </w:tr>
      <w:tr w:rsidR="006179E9" w:rsidRPr="00334495" w14:paraId="083EC351" w14:textId="77777777" w:rsidTr="00C65E7A">
        <w:tc>
          <w:tcPr>
            <w:tcW w:w="5000" w:type="pct"/>
          </w:tcPr>
          <w:p w14:paraId="09D33FAF" w14:textId="7202EDCA" w:rsidR="006179E9" w:rsidRPr="00334495" w:rsidRDefault="006179E9" w:rsidP="00E14D72">
            <w:pPr>
              <w:pStyle w:val="BodyText"/>
              <w:tabs>
                <w:tab w:val="left" w:pos="601"/>
              </w:tabs>
              <w:kinsoku w:val="0"/>
              <w:overflowPunct w:val="0"/>
              <w:spacing w:before="0" w:line="276" w:lineRule="auto"/>
              <w:ind w:left="0"/>
              <w:jc w:val="both"/>
              <w:rPr>
                <w:rFonts w:ascii="Arial Nova Light" w:hAnsi="Arial Nova Light"/>
                <w:b/>
                <w:bCs/>
                <w:color w:val="000000"/>
                <w:sz w:val="22"/>
                <w:szCs w:val="22"/>
                <w:lang w:val="ro-RO"/>
              </w:rPr>
            </w:pPr>
            <w:r w:rsidRPr="00334495">
              <w:rPr>
                <w:rFonts w:ascii="Arial Nova Light" w:hAnsi="Arial Nova Light"/>
                <w:b/>
                <w:bCs/>
                <w:color w:val="007E39"/>
                <w:sz w:val="24"/>
                <w:szCs w:val="22"/>
              </w:rPr>
              <w:t>Criterion A.3. Adequate human resources and transparent personnel recruitment procedures, developed in accordance with the law</w:t>
            </w:r>
          </w:p>
        </w:tc>
      </w:tr>
      <w:tr w:rsidR="006179E9" w:rsidRPr="00334495" w14:paraId="050423ED" w14:textId="77777777" w:rsidTr="00C65E7A">
        <w:tc>
          <w:tcPr>
            <w:tcW w:w="5000" w:type="pct"/>
          </w:tcPr>
          <w:p w14:paraId="65825DF3" w14:textId="77777777" w:rsidR="006179E9" w:rsidRPr="00334495" w:rsidRDefault="006179E9" w:rsidP="00D54420">
            <w:pPr>
              <w:pStyle w:val="TableParagraph"/>
              <w:kinsoku w:val="0"/>
              <w:overflowPunct w:val="0"/>
              <w:jc w:val="both"/>
              <w:rPr>
                <w:rFonts w:ascii="Arial Nova Light" w:hAnsi="Arial Nova Light" w:cs="Arial"/>
                <w:color w:val="007E39"/>
                <w:sz w:val="22"/>
                <w:szCs w:val="22"/>
                <w:u w:val="single"/>
                <w:lang w:val="ro-RO"/>
              </w:rPr>
            </w:pPr>
            <w:r w:rsidRPr="00334495">
              <w:rPr>
                <w:rFonts w:ascii="Arial Nova Light" w:hAnsi="Arial Nova Light" w:cs="Arial"/>
                <w:color w:val="007E39"/>
                <w:sz w:val="22"/>
                <w:szCs w:val="22"/>
              </w:rPr>
              <w:t xml:space="preserve">Standard S.A.3.1. </w:t>
            </w:r>
            <w:r w:rsidRPr="00334495">
              <w:rPr>
                <w:rFonts w:ascii="Arial Nova Light" w:hAnsi="Arial Nova Light" w:cs="Arial"/>
                <w:color w:val="007E39"/>
                <w:sz w:val="22"/>
                <w:szCs w:val="22"/>
                <w:u w:val="single"/>
              </w:rPr>
              <w:t>Human Resources</w:t>
            </w:r>
          </w:p>
          <w:p w14:paraId="47AAF84B" w14:textId="2059716E" w:rsidR="006179E9" w:rsidRPr="00334495" w:rsidRDefault="006179E9" w:rsidP="00D54420">
            <w:pPr>
              <w:pStyle w:val="BodyText"/>
              <w:tabs>
                <w:tab w:val="left" w:pos="601"/>
              </w:tabs>
              <w:kinsoku w:val="0"/>
              <w:overflowPunct w:val="0"/>
              <w:spacing w:before="0"/>
              <w:ind w:left="0"/>
              <w:jc w:val="both"/>
              <w:rPr>
                <w:rFonts w:ascii="Arial Nova Light" w:hAnsi="Arial Nova Light"/>
                <w:color w:val="000000"/>
                <w:sz w:val="22"/>
                <w:szCs w:val="22"/>
                <w:lang w:val="ro-RO"/>
              </w:rPr>
            </w:pPr>
            <w:r w:rsidRPr="00334495">
              <w:rPr>
                <w:rFonts w:ascii="Arial Nova Light" w:hAnsi="Arial Nova Light"/>
                <w:color w:val="007E39"/>
                <w:sz w:val="22"/>
                <w:szCs w:val="22"/>
              </w:rPr>
              <w:t>The HEI has the necessary human resources for the organization and conduct of the evaluated university program/field of study.</w:t>
            </w:r>
          </w:p>
        </w:tc>
      </w:tr>
      <w:tr w:rsidR="006179E9" w:rsidRPr="00334495" w14:paraId="3224A1FA" w14:textId="77777777" w:rsidTr="00C65E7A">
        <w:tc>
          <w:tcPr>
            <w:tcW w:w="5000" w:type="pct"/>
          </w:tcPr>
          <w:p w14:paraId="1C98EF64" w14:textId="1EBEBD20" w:rsidR="006179E9" w:rsidRPr="00334495" w:rsidRDefault="006179E9" w:rsidP="00D54420">
            <w:pPr>
              <w:pStyle w:val="TableParagraph"/>
              <w:kinsoku w:val="0"/>
              <w:overflowPunct w:val="0"/>
              <w:ind w:left="708"/>
              <w:jc w:val="both"/>
              <w:rPr>
                <w:rFonts w:ascii="Arial Nova Light" w:hAnsi="Arial Nova Light" w:cs="Arial"/>
                <w:color w:val="70AD47" w:themeColor="accent6"/>
                <w:sz w:val="22"/>
                <w:szCs w:val="22"/>
                <w:lang w:val="ro-RO"/>
              </w:rPr>
            </w:pPr>
            <w:r w:rsidRPr="00334495">
              <w:rPr>
                <w:rFonts w:ascii="Arial Nova Light" w:hAnsi="Arial Nova Light"/>
                <w:color w:val="007E39"/>
                <w:sz w:val="22"/>
                <w:szCs w:val="22"/>
              </w:rPr>
              <w:t xml:space="preserve">Indicator I.P.A.3.1.1 </w:t>
            </w:r>
            <w:r w:rsidRPr="00334495">
              <w:rPr>
                <w:rFonts w:ascii="Arial Nova Light" w:hAnsi="Arial Nova Light" w:cs="Arial"/>
                <w:color w:val="333333"/>
                <w:sz w:val="22"/>
                <w:szCs w:val="22"/>
              </w:rPr>
              <w:t xml:space="preserve">The human resources of the organizational component are adequate for carrying out the activities related to the program/field of university studies evaluated. The </w:t>
            </w:r>
            <w:r w:rsidRPr="00334495">
              <w:rPr>
                <w:rFonts w:ascii="Arial Nova Light" w:hAnsi="Arial Nova Light" w:cs="Arial"/>
                <w:color w:val="333333"/>
                <w:sz w:val="22"/>
                <w:szCs w:val="22"/>
              </w:rPr>
              <w:lastRenderedPageBreak/>
              <w:t>teaching staff has the necessary qualifications and professional competences to teach the subjects that correspond to them in the state of functions.</w:t>
            </w:r>
          </w:p>
        </w:tc>
      </w:tr>
      <w:tr w:rsidR="00843406" w:rsidRPr="00334495" w14:paraId="745441E2" w14:textId="77777777" w:rsidTr="00C65E7A">
        <w:tc>
          <w:tcPr>
            <w:tcW w:w="5000" w:type="pct"/>
          </w:tcPr>
          <w:p w14:paraId="1C57EE0E" w14:textId="73506B9F" w:rsidR="00843406" w:rsidRPr="00334495" w:rsidRDefault="00843406" w:rsidP="00D54420">
            <w:pPr>
              <w:pStyle w:val="TableParagraph"/>
              <w:kinsoku w:val="0"/>
              <w:overflowPunct w:val="0"/>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lastRenderedPageBreak/>
              <w:t xml:space="preserve">The I.P.A.3.1.2 </w:t>
            </w:r>
            <w:r w:rsidR="005366BF" w:rsidRPr="00334495">
              <w:rPr>
                <w:rFonts w:ascii="Arial Nova Light" w:hAnsi="Arial Nova Light" w:cs="Arial"/>
                <w:color w:val="333333"/>
                <w:sz w:val="22"/>
                <w:szCs w:val="22"/>
              </w:rPr>
              <w:t>IÎS indicator ensures the professional and personal development of the staff.</w:t>
            </w:r>
          </w:p>
        </w:tc>
      </w:tr>
      <w:tr w:rsidR="003C029E" w:rsidRPr="00334495" w14:paraId="4E5D318B" w14:textId="77777777" w:rsidTr="00C65E7A">
        <w:tc>
          <w:tcPr>
            <w:tcW w:w="5000" w:type="pct"/>
          </w:tcPr>
          <w:p w14:paraId="3172A4E6" w14:textId="70785CAC" w:rsidR="003C029E" w:rsidRPr="00334495" w:rsidRDefault="003C029E" w:rsidP="003C029E">
            <w:pPr>
              <w:pStyle w:val="TableParagraph"/>
              <w:kinsoku w:val="0"/>
              <w:overflowPunct w:val="0"/>
              <w:jc w:val="both"/>
              <w:rPr>
                <w:rFonts w:ascii="Arial Nova Light" w:hAnsi="Arial Nova Light" w:cs="Arial"/>
                <w:color w:val="007E39"/>
                <w:sz w:val="22"/>
                <w:szCs w:val="22"/>
                <w:u w:val="single"/>
                <w:lang w:val="ro-RO"/>
              </w:rPr>
            </w:pPr>
            <w:r w:rsidRPr="00334495">
              <w:rPr>
                <w:rFonts w:ascii="Arial Nova Light" w:hAnsi="Arial Nova Light" w:cs="Arial"/>
                <w:color w:val="007E39"/>
                <w:sz w:val="22"/>
                <w:szCs w:val="22"/>
              </w:rPr>
              <w:t xml:space="preserve">Standard S.A.3.2. </w:t>
            </w:r>
            <w:r w:rsidR="00CE7F7F" w:rsidRPr="00334495">
              <w:rPr>
                <w:rFonts w:ascii="Arial Nova Light" w:hAnsi="Arial Nova Light" w:cs="Arial"/>
                <w:color w:val="007E39"/>
                <w:sz w:val="22"/>
                <w:szCs w:val="22"/>
                <w:u w:val="single"/>
              </w:rPr>
              <w:t>Recruitment procedures</w:t>
            </w:r>
          </w:p>
          <w:p w14:paraId="7C6BCB24" w14:textId="7430FCA7" w:rsidR="003C029E" w:rsidRPr="00334495" w:rsidRDefault="00346858" w:rsidP="003C029E">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The recruitment procedures for teaching staff comply with the legal provisions.</w:t>
            </w:r>
          </w:p>
        </w:tc>
      </w:tr>
      <w:tr w:rsidR="00E22CAE" w:rsidRPr="00334495" w14:paraId="30CFF5AF" w14:textId="77777777" w:rsidTr="00C65E7A">
        <w:tc>
          <w:tcPr>
            <w:tcW w:w="5000" w:type="pct"/>
          </w:tcPr>
          <w:p w14:paraId="44DEC247" w14:textId="254A539F" w:rsidR="00E22CAE" w:rsidRPr="00334495" w:rsidRDefault="00E22CAE" w:rsidP="00C36606">
            <w:pPr>
              <w:pStyle w:val="TableParagraph"/>
              <w:kinsoku w:val="0"/>
              <w:overflowPunct w:val="0"/>
              <w:ind w:left="708"/>
              <w:jc w:val="both"/>
              <w:rPr>
                <w:rFonts w:ascii="Arial Nova Light" w:hAnsi="Arial Nova Light" w:cs="Arial"/>
                <w:color w:val="007E39"/>
                <w:sz w:val="22"/>
                <w:szCs w:val="22"/>
                <w:lang w:val="ro-RO"/>
              </w:rPr>
            </w:pPr>
            <w:r w:rsidRPr="00334495">
              <w:rPr>
                <w:rFonts w:ascii="Arial Nova Light" w:hAnsi="Arial Nova Light"/>
                <w:color w:val="007E39"/>
                <w:sz w:val="22"/>
                <w:szCs w:val="22"/>
              </w:rPr>
              <w:t xml:space="preserve">Indicator I.P.A.3.2.1 </w:t>
            </w:r>
            <w:r w:rsidR="00801695" w:rsidRPr="00334495">
              <w:rPr>
                <w:rFonts w:ascii="Arial Nova Light" w:hAnsi="Arial Nova Light"/>
                <w:sz w:val="22"/>
                <w:szCs w:val="22"/>
              </w:rPr>
              <w:t xml:space="preserve">The recruitment procedures are in accordance with the legal provisions, established and carried out in a transparent manner.  </w:t>
            </w:r>
          </w:p>
        </w:tc>
      </w:tr>
      <w:tr w:rsidR="006179E9" w:rsidRPr="00334495" w14:paraId="603EC8C4" w14:textId="77777777" w:rsidTr="00C65E7A">
        <w:tc>
          <w:tcPr>
            <w:tcW w:w="5000" w:type="pct"/>
          </w:tcPr>
          <w:p w14:paraId="24A4C5A3" w14:textId="37EDB1CD" w:rsidR="006179E9" w:rsidRPr="00334495" w:rsidRDefault="006179E9" w:rsidP="00D54420">
            <w:pPr>
              <w:pStyle w:val="BodyText"/>
              <w:tabs>
                <w:tab w:val="left" w:pos="601"/>
              </w:tabs>
              <w:kinsoku w:val="0"/>
              <w:overflowPunct w:val="0"/>
              <w:spacing w:before="0" w:line="360" w:lineRule="auto"/>
              <w:ind w:left="0"/>
              <w:jc w:val="both"/>
              <w:rPr>
                <w:rFonts w:ascii="Arial Nova Light" w:hAnsi="Arial Nova Light"/>
                <w:b/>
                <w:bCs/>
                <w:color w:val="007E39"/>
                <w:sz w:val="22"/>
                <w:szCs w:val="22"/>
                <w:lang w:val="ro-RO"/>
              </w:rPr>
            </w:pPr>
            <w:r w:rsidRPr="00334495">
              <w:rPr>
                <w:rFonts w:ascii="Arial Nova Light" w:hAnsi="Arial Nova Light"/>
                <w:b/>
                <w:bCs/>
                <w:color w:val="007E39"/>
                <w:sz w:val="24"/>
                <w:szCs w:val="22"/>
              </w:rPr>
              <w:t>Criterion A.4. Digitization of institutional processes</w:t>
            </w:r>
          </w:p>
        </w:tc>
      </w:tr>
      <w:tr w:rsidR="006179E9" w:rsidRPr="00334495" w14:paraId="104F146D" w14:textId="77777777" w:rsidTr="00C65E7A">
        <w:tc>
          <w:tcPr>
            <w:tcW w:w="5000" w:type="pct"/>
          </w:tcPr>
          <w:p w14:paraId="17C3101F" w14:textId="77777777" w:rsidR="006179E9" w:rsidRPr="00334495" w:rsidRDefault="006179E9" w:rsidP="00E14D72">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S.A.4.1. </w:t>
            </w:r>
            <w:r w:rsidRPr="00334495">
              <w:rPr>
                <w:rFonts w:ascii="Arial Nova Light" w:hAnsi="Arial Nova Light" w:cs="Arial"/>
                <w:color w:val="007E39"/>
                <w:spacing w:val="-1"/>
                <w:sz w:val="22"/>
                <w:szCs w:val="22"/>
                <w:u w:val="single"/>
              </w:rPr>
              <w:t>Digital transformation</w:t>
            </w:r>
          </w:p>
          <w:p w14:paraId="7DED3675" w14:textId="319EA288" w:rsidR="006179E9" w:rsidRPr="00334495" w:rsidRDefault="006179E9" w:rsidP="00E14D72">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digital transformation process at the level of the organizational component envisages administrative simplification and increasing the quality of services offered to members of its own community and to third parties. </w:t>
            </w:r>
          </w:p>
        </w:tc>
      </w:tr>
      <w:tr w:rsidR="006179E9" w:rsidRPr="00334495" w14:paraId="7C52193B" w14:textId="77777777" w:rsidTr="00C65E7A">
        <w:tc>
          <w:tcPr>
            <w:tcW w:w="5000" w:type="pct"/>
          </w:tcPr>
          <w:p w14:paraId="2FFC4790" w14:textId="667BB9DE" w:rsidR="006179E9" w:rsidRPr="00334495" w:rsidRDefault="006179E9" w:rsidP="00D54420">
            <w:pPr>
              <w:pStyle w:val="TableParagraph"/>
              <w:kinsoku w:val="0"/>
              <w:overflowPunct w:val="0"/>
              <w:ind w:left="708"/>
              <w:jc w:val="both"/>
              <w:rPr>
                <w:rFonts w:ascii="Arial Nova Light" w:hAnsi="Arial Nova Light" w:cs="Arial"/>
                <w:color w:val="70AD47" w:themeColor="accent6"/>
                <w:sz w:val="22"/>
                <w:szCs w:val="22"/>
                <w:lang w:val="ro-RO"/>
              </w:rPr>
            </w:pPr>
            <w:r w:rsidRPr="00334495">
              <w:rPr>
                <w:rFonts w:ascii="Arial Nova Light" w:hAnsi="Arial Nova Light" w:cs="Arial"/>
                <w:color w:val="007E39"/>
                <w:sz w:val="22"/>
                <w:szCs w:val="22"/>
              </w:rPr>
              <w:t xml:space="preserve">Indicator I.P.A.4.1.1 </w:t>
            </w:r>
            <w:r w:rsidRPr="00334495">
              <w:rPr>
                <w:rFonts w:ascii="Arial Nova Light" w:hAnsi="Arial Nova Light" w:cs="Arial"/>
                <w:color w:val="333333"/>
                <w:sz w:val="22"/>
                <w:szCs w:val="22"/>
              </w:rPr>
              <w:t>The organizational component uses IT tools within its own procedures in order to improve access and ensure quality services for members of its community and indirect beneficiaries of education.</w:t>
            </w:r>
          </w:p>
        </w:tc>
      </w:tr>
      <w:tr w:rsidR="006179E9" w:rsidRPr="00334495" w14:paraId="44442D78" w14:textId="77777777" w:rsidTr="00C65E7A">
        <w:tc>
          <w:tcPr>
            <w:tcW w:w="5000" w:type="pct"/>
            <w:shd w:val="clear" w:color="auto" w:fill="E2EFD9" w:themeFill="accent6" w:themeFillTint="33"/>
          </w:tcPr>
          <w:p w14:paraId="1B5C7012" w14:textId="01AD027B" w:rsidR="006179E9" w:rsidRPr="00334495" w:rsidRDefault="005906F2" w:rsidP="00E14D72">
            <w:pPr>
              <w:pStyle w:val="BodyText"/>
              <w:tabs>
                <w:tab w:val="left" w:pos="601"/>
              </w:tabs>
              <w:kinsoku w:val="0"/>
              <w:overflowPunct w:val="0"/>
              <w:spacing w:before="120" w:after="120" w:line="276" w:lineRule="auto"/>
              <w:ind w:left="0"/>
              <w:jc w:val="center"/>
              <w:rPr>
                <w:rFonts w:ascii="Arial Nova Light" w:eastAsia="Times New Roman" w:hAnsi="Arial Nova Light"/>
                <w:b/>
                <w:bCs/>
                <w:color w:val="385623" w:themeColor="accent6" w:themeShade="80"/>
                <w:sz w:val="22"/>
                <w:szCs w:val="22"/>
                <w:lang w:val="ro-RO"/>
              </w:rPr>
            </w:pPr>
            <w:r w:rsidRPr="00334495">
              <w:rPr>
                <w:rFonts w:ascii="Arial Nova Light" w:eastAsia="Times New Roman" w:hAnsi="Arial Nova Light"/>
                <w:b/>
                <w:bCs/>
                <w:color w:val="385623" w:themeColor="accent6" w:themeShade="80"/>
                <w:sz w:val="22"/>
                <w:szCs w:val="22"/>
              </w:rPr>
              <w:t>FIELD B. Educational effectiveness</w:t>
            </w:r>
          </w:p>
        </w:tc>
      </w:tr>
      <w:tr w:rsidR="006179E9" w:rsidRPr="00334495" w14:paraId="4DA8D504" w14:textId="77777777" w:rsidTr="00C65E7A">
        <w:tc>
          <w:tcPr>
            <w:tcW w:w="5000" w:type="pct"/>
          </w:tcPr>
          <w:p w14:paraId="40A9D04C" w14:textId="2E7797D6" w:rsidR="006179E9" w:rsidRPr="00334495" w:rsidRDefault="006179E9" w:rsidP="00D54420">
            <w:pPr>
              <w:pStyle w:val="BodyText"/>
              <w:tabs>
                <w:tab w:val="left" w:pos="601"/>
              </w:tabs>
              <w:kinsoku w:val="0"/>
              <w:overflowPunct w:val="0"/>
              <w:spacing w:before="0" w:line="360" w:lineRule="auto"/>
              <w:ind w:left="0"/>
              <w:jc w:val="both"/>
              <w:rPr>
                <w:rFonts w:ascii="Arial Nova Light" w:hAnsi="Arial Nova Light"/>
                <w:b/>
                <w:bCs/>
                <w:color w:val="007E39"/>
                <w:sz w:val="22"/>
                <w:szCs w:val="22"/>
                <w:lang w:val="ro-RO"/>
              </w:rPr>
            </w:pPr>
            <w:r w:rsidRPr="00334495">
              <w:rPr>
                <w:rFonts w:ascii="Arial Nova Light" w:hAnsi="Arial Nova Light"/>
                <w:b/>
                <w:bCs/>
                <w:color w:val="007E39"/>
                <w:sz w:val="24"/>
                <w:szCs w:val="22"/>
              </w:rPr>
              <w:t>Criterion B.1. Content and relevance of study programs</w:t>
            </w:r>
          </w:p>
        </w:tc>
      </w:tr>
      <w:tr w:rsidR="006179E9" w:rsidRPr="00334495" w14:paraId="2FE1B3A8" w14:textId="77777777" w:rsidTr="00C65E7A">
        <w:tc>
          <w:tcPr>
            <w:tcW w:w="5000" w:type="pct"/>
          </w:tcPr>
          <w:p w14:paraId="50C7800F" w14:textId="77777777" w:rsidR="006179E9" w:rsidRPr="00334495" w:rsidRDefault="006179E9" w:rsidP="00D54420">
            <w:pPr>
              <w:pStyle w:val="BodyText"/>
              <w:tabs>
                <w:tab w:val="left" w:pos="601"/>
              </w:tabs>
              <w:kinsoku w:val="0"/>
              <w:overflowPunct w:val="0"/>
              <w:spacing w:before="0"/>
              <w:ind w:left="0"/>
              <w:jc w:val="both"/>
              <w:rPr>
                <w:rFonts w:ascii="Arial Nova Light" w:hAnsi="Arial Nova Light"/>
                <w:color w:val="007E39"/>
                <w:sz w:val="22"/>
                <w:szCs w:val="22"/>
                <w:u w:val="single"/>
                <w:lang w:val="ro-RO"/>
              </w:rPr>
            </w:pPr>
            <w:r w:rsidRPr="00334495">
              <w:rPr>
                <w:rFonts w:ascii="Arial Nova Light" w:hAnsi="Arial Nova Light"/>
                <w:color w:val="007E39"/>
                <w:sz w:val="22"/>
                <w:szCs w:val="22"/>
              </w:rPr>
              <w:t xml:space="preserve">Standard S.B.1.1. </w:t>
            </w:r>
            <w:r w:rsidRPr="00334495">
              <w:rPr>
                <w:rFonts w:ascii="Arial Nova Light" w:hAnsi="Arial Nova Light"/>
                <w:color w:val="007E39"/>
                <w:sz w:val="22"/>
                <w:szCs w:val="22"/>
                <w:u w:val="single"/>
              </w:rPr>
              <w:t>Content of the study program(s</w:t>
            </w:r>
            <w:r w:rsidRPr="00334495">
              <w:rPr>
                <w:rStyle w:val="FootnoteReference"/>
                <w:rFonts w:ascii="Arial Nova Light" w:hAnsi="Arial Nova Light"/>
                <w:color w:val="007E39"/>
                <w:sz w:val="22"/>
                <w:szCs w:val="22"/>
                <w:u w:val="single"/>
              </w:rPr>
              <w:footnoteReference w:id="1"/>
            </w:r>
            <w:r w:rsidRPr="00334495">
              <w:rPr>
                <w:rFonts w:ascii="Arial Nova Light" w:hAnsi="Arial Nova Light"/>
                <w:color w:val="007E39"/>
                <w:spacing w:val="6"/>
                <w:position w:val="7"/>
                <w:sz w:val="22"/>
                <w:szCs w:val="22"/>
                <w:u w:val="single"/>
              </w:rPr>
              <w:t xml:space="preserve"> </w:t>
            </w:r>
            <w:r w:rsidRPr="00334495">
              <w:rPr>
                <w:rFonts w:ascii="Arial Nova Light" w:hAnsi="Arial Nova Light"/>
                <w:color w:val="007E39"/>
                <w:sz w:val="22"/>
                <w:szCs w:val="22"/>
                <w:u w:val="single"/>
              </w:rPr>
              <w:t>)</w:t>
            </w:r>
          </w:p>
          <w:p w14:paraId="71CF1190" w14:textId="2F8C5FC3" w:rsidR="006179E9" w:rsidRPr="00334495" w:rsidRDefault="006179E9" w:rsidP="00D54420">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The study program is based on a curriculum that aims to ensure that students achieve the expected learning outcomes.</w:t>
            </w:r>
          </w:p>
        </w:tc>
      </w:tr>
      <w:tr w:rsidR="006179E9" w:rsidRPr="00334495" w14:paraId="0D9CFD28" w14:textId="77777777" w:rsidTr="00C65E7A">
        <w:tc>
          <w:tcPr>
            <w:tcW w:w="5000" w:type="pct"/>
          </w:tcPr>
          <w:p w14:paraId="4C5FADD7" w14:textId="63A2AEDC" w:rsidR="006179E9" w:rsidRPr="00334495" w:rsidRDefault="006179E9" w:rsidP="00C36606">
            <w:pPr>
              <w:pStyle w:val="BodyText"/>
              <w:tabs>
                <w:tab w:val="left" w:pos="601"/>
              </w:tabs>
              <w:kinsoku w:val="0"/>
              <w:overflowPunct w:val="0"/>
              <w:spacing w:before="0"/>
              <w:ind w:left="601"/>
              <w:jc w:val="both"/>
              <w:rPr>
                <w:rFonts w:ascii="Arial Nova Light" w:hAnsi="Arial Nova Light"/>
                <w:color w:val="70AD47" w:themeColor="accent6"/>
                <w:sz w:val="22"/>
                <w:szCs w:val="22"/>
                <w:lang w:val="ro-RO"/>
              </w:rPr>
            </w:pPr>
            <w:r w:rsidRPr="00334495">
              <w:rPr>
                <w:rFonts w:ascii="Arial Nova Light" w:hAnsi="Arial Nova Light"/>
                <w:color w:val="007E39"/>
                <w:sz w:val="22"/>
                <w:szCs w:val="22"/>
              </w:rPr>
              <w:t xml:space="preserve">Indicator I.P.B.1.1.1 </w:t>
            </w:r>
            <w:r w:rsidRPr="00334495">
              <w:rPr>
                <w:rFonts w:ascii="Arial Nova Light" w:hAnsi="Arial Nova Light"/>
                <w:color w:val="333333"/>
                <w:sz w:val="22"/>
                <w:szCs w:val="22"/>
              </w:rPr>
              <w:t>The university study program is developed and structured in relation to the expected learning outcomes and is organized on the basis of transferable study credits. It encompasses the totality of learning, teaching, practical training, research and assessment experiences that together lead to a university qualification.</w:t>
            </w:r>
          </w:p>
        </w:tc>
      </w:tr>
      <w:tr w:rsidR="0046245A" w:rsidRPr="00334495" w14:paraId="7B8DF15C" w14:textId="77777777" w:rsidTr="00C65E7A">
        <w:tc>
          <w:tcPr>
            <w:tcW w:w="5000" w:type="pct"/>
          </w:tcPr>
          <w:p w14:paraId="4B6249CB" w14:textId="77777777" w:rsidR="008A349E" w:rsidRPr="00334495" w:rsidRDefault="008A349E" w:rsidP="000D2E02">
            <w:pPr>
              <w:pStyle w:val="BodyText"/>
              <w:tabs>
                <w:tab w:val="left" w:pos="601"/>
              </w:tabs>
              <w:kinsoku w:val="0"/>
              <w:overflowPunct w:val="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Standard S.B.1.2. </w:t>
            </w:r>
            <w:r w:rsidRPr="00334495">
              <w:rPr>
                <w:rFonts w:ascii="Arial Nova Light" w:hAnsi="Arial Nova Light"/>
                <w:color w:val="007E39"/>
                <w:sz w:val="22"/>
                <w:szCs w:val="22"/>
                <w:u w:val="single"/>
              </w:rPr>
              <w:t xml:space="preserve">Relevance of the study program </w:t>
            </w:r>
          </w:p>
          <w:p w14:paraId="6BB78C4A" w14:textId="14B5C4D2" w:rsidR="0046245A" w:rsidRPr="00334495" w:rsidRDefault="008A349E" w:rsidP="008A349E">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The study program responds to the professional and personal development needs of the graduates, as well as the socio-economic ones and are organized in conditions designed to ensure the confidence of the beneficiaries.</w:t>
            </w:r>
          </w:p>
        </w:tc>
      </w:tr>
      <w:tr w:rsidR="000D2E02" w:rsidRPr="00334495" w14:paraId="4CF44E8A" w14:textId="77777777" w:rsidTr="00C65E7A">
        <w:tc>
          <w:tcPr>
            <w:tcW w:w="5000" w:type="pct"/>
          </w:tcPr>
          <w:p w14:paraId="68F653A8" w14:textId="731B16BE" w:rsidR="000D2E02" w:rsidRPr="00334495" w:rsidRDefault="000D2E02" w:rsidP="00C36606">
            <w:pPr>
              <w:pStyle w:val="BodyText"/>
              <w:tabs>
                <w:tab w:val="left" w:pos="601"/>
              </w:tabs>
              <w:kinsoku w:val="0"/>
              <w:overflowPunct w:val="0"/>
              <w:spacing w:before="0"/>
              <w:ind w:left="601"/>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I.P.B.1.2.1 </w:t>
            </w:r>
            <w:r w:rsidR="009C451B" w:rsidRPr="00334495">
              <w:rPr>
                <w:rFonts w:ascii="Arial Nova Light" w:hAnsi="Arial Nova Light"/>
                <w:color w:val="333333"/>
                <w:sz w:val="22"/>
                <w:szCs w:val="22"/>
              </w:rPr>
              <w:t>The study program operates under the conditions of the authorization and accreditation act, respectively, aiming at achieving the educational ideal of higher education according to the law.</w:t>
            </w:r>
          </w:p>
        </w:tc>
      </w:tr>
      <w:tr w:rsidR="000D2E02" w:rsidRPr="00334495" w14:paraId="66F2664A" w14:textId="77777777" w:rsidTr="00C65E7A">
        <w:tc>
          <w:tcPr>
            <w:tcW w:w="5000" w:type="pct"/>
          </w:tcPr>
          <w:p w14:paraId="52642529" w14:textId="3317064C" w:rsidR="000D2E02" w:rsidRPr="00334495" w:rsidRDefault="000D2E02" w:rsidP="000D2E02">
            <w:pPr>
              <w:pStyle w:val="BodyText"/>
              <w:tabs>
                <w:tab w:val="left" w:pos="601"/>
              </w:tabs>
              <w:kinsoku w:val="0"/>
              <w:overflowPunct w:val="0"/>
              <w:spacing w:before="0" w:line="360" w:lineRule="auto"/>
              <w:ind w:left="0"/>
              <w:jc w:val="both"/>
              <w:rPr>
                <w:rFonts w:ascii="Arial Nova Light" w:hAnsi="Arial Nova Light"/>
                <w:b/>
                <w:bCs/>
                <w:color w:val="007E39"/>
                <w:sz w:val="22"/>
                <w:szCs w:val="22"/>
                <w:lang w:val="ro-RO"/>
              </w:rPr>
            </w:pPr>
            <w:r w:rsidRPr="00334495">
              <w:rPr>
                <w:rFonts w:ascii="Arial Nova Light" w:hAnsi="Arial Nova Light"/>
                <w:b/>
                <w:bCs/>
                <w:color w:val="007E39"/>
                <w:sz w:val="24"/>
                <w:szCs w:val="22"/>
              </w:rPr>
              <w:t>Criterion B.2. Concordance between curriculum and qualification</w:t>
            </w:r>
          </w:p>
        </w:tc>
      </w:tr>
      <w:tr w:rsidR="000D2E02" w:rsidRPr="00334495" w14:paraId="621C2984" w14:textId="77777777" w:rsidTr="00C65E7A">
        <w:tc>
          <w:tcPr>
            <w:tcW w:w="5000" w:type="pct"/>
          </w:tcPr>
          <w:p w14:paraId="1559690E" w14:textId="77777777" w:rsidR="000D2E02" w:rsidRPr="00334495" w:rsidRDefault="000D2E02" w:rsidP="000D2E02">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S.B.2.1. </w:t>
            </w:r>
            <w:r w:rsidRPr="00334495">
              <w:rPr>
                <w:rFonts w:ascii="Arial Nova Light" w:hAnsi="Arial Nova Light" w:cs="Arial"/>
                <w:color w:val="007E39"/>
                <w:sz w:val="22"/>
                <w:szCs w:val="22"/>
                <w:u w:val="single"/>
              </w:rPr>
              <w:t>Consistency with the level of qualification and competences concerned</w:t>
            </w:r>
          </w:p>
          <w:p w14:paraId="74AE69C2" w14:textId="221FF097" w:rsidR="000D2E02" w:rsidRPr="00334495" w:rsidRDefault="000D2E02" w:rsidP="000D2E02">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 the process of curriculum design and development, the organizational component takes into account to ensure the level of qualification and correlation with the targeted occupations.  </w:t>
            </w:r>
          </w:p>
        </w:tc>
      </w:tr>
      <w:tr w:rsidR="000D2E02" w:rsidRPr="00334495" w14:paraId="1A765A1A" w14:textId="77777777" w:rsidTr="00C65E7A">
        <w:tc>
          <w:tcPr>
            <w:tcW w:w="5000" w:type="pct"/>
          </w:tcPr>
          <w:p w14:paraId="0042B715" w14:textId="35A8789D" w:rsidR="000D2E02" w:rsidRPr="00334495" w:rsidRDefault="000D2E02" w:rsidP="000D2E0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r w:rsidRPr="00334495">
              <w:rPr>
                <w:rFonts w:ascii="Arial Nova Light" w:hAnsi="Arial Nova Light"/>
                <w:color w:val="007E39"/>
                <w:sz w:val="22"/>
                <w:szCs w:val="22"/>
              </w:rPr>
              <w:t xml:space="preserve">Indicator I.P.B.2.1.1 </w:t>
            </w:r>
            <w:r w:rsidRPr="00334495">
              <w:rPr>
                <w:rFonts w:ascii="Arial Nova Light" w:hAnsi="Arial Nova Light"/>
                <w:color w:val="333333"/>
                <w:sz w:val="22"/>
                <w:szCs w:val="22"/>
              </w:rPr>
              <w:t>Learning outcomes are consistent with the level of qualification.</w:t>
            </w:r>
          </w:p>
        </w:tc>
      </w:tr>
      <w:tr w:rsidR="000D2E02" w:rsidRPr="00334495" w14:paraId="694E30AB" w14:textId="77777777" w:rsidTr="00C65E7A">
        <w:tc>
          <w:tcPr>
            <w:tcW w:w="5000" w:type="pct"/>
          </w:tcPr>
          <w:p w14:paraId="52F46E54" w14:textId="77777777" w:rsidR="000D2E02" w:rsidRPr="00334495" w:rsidRDefault="000D2E02" w:rsidP="000D2E02">
            <w:pPr>
              <w:pStyle w:val="TableParagraph"/>
              <w:kinsoku w:val="0"/>
              <w:overflowPunct w:val="0"/>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I.P.B.2.1.2 </w:t>
            </w:r>
            <w:r w:rsidRPr="00334495">
              <w:rPr>
                <w:rFonts w:ascii="Arial Nova Light" w:hAnsi="Arial Nova Light" w:cs="Arial"/>
                <w:color w:val="333333"/>
                <w:sz w:val="22"/>
                <w:szCs w:val="22"/>
              </w:rPr>
              <w:t>The expected learning outcomes are correlated with the competences required by the corresponding occupations, according to occupational standards and/or the European Classification of Occupations (ESCO).</w:t>
            </w:r>
          </w:p>
          <w:p w14:paraId="55908204" w14:textId="77777777" w:rsidR="00872A5A" w:rsidRPr="00334495" w:rsidRDefault="00872A5A" w:rsidP="00872A5A">
            <w:pPr>
              <w:pStyle w:val="TableParagraph"/>
              <w:kinsoku w:val="0"/>
              <w:overflowPunct w:val="0"/>
              <w:spacing w:before="240"/>
              <w:ind w:left="708"/>
              <w:jc w:val="both"/>
              <w:rPr>
                <w:rFonts w:ascii="Arial Nova Light" w:hAnsi="Arial Nova Light" w:cs="Arial"/>
                <w:i/>
                <w:iCs/>
                <w:color w:val="333333"/>
                <w:sz w:val="22"/>
                <w:szCs w:val="22"/>
                <w:lang w:val="ro-RO"/>
              </w:rPr>
            </w:pPr>
            <w:r w:rsidRPr="00334495">
              <w:rPr>
                <w:rFonts w:ascii="Arial Nova Light" w:hAnsi="Arial Nova Light" w:cs="Arial"/>
                <w:i/>
                <w:iCs/>
                <w:color w:val="333333"/>
                <w:sz w:val="22"/>
                <w:szCs w:val="22"/>
              </w:rPr>
              <w:t>The curriculum is designed to meet the educational requirements formulated by employers, including the acquisition of practical skills.</w:t>
            </w:r>
          </w:p>
          <w:p w14:paraId="23D8A43A" w14:textId="2CFCD3EF" w:rsidR="00872A5A" w:rsidRPr="00334495" w:rsidRDefault="00872A5A" w:rsidP="00872A5A">
            <w:pPr>
              <w:pStyle w:val="TableParagraph"/>
              <w:kinsoku w:val="0"/>
              <w:overflowPunct w:val="0"/>
              <w:spacing w:before="240"/>
              <w:ind w:left="708"/>
              <w:jc w:val="both"/>
              <w:rPr>
                <w:rFonts w:ascii="Arial Nova Light" w:hAnsi="Arial Nova Light" w:cs="Arial"/>
                <w:i/>
                <w:iCs/>
                <w:color w:val="333333"/>
                <w:sz w:val="22"/>
                <w:szCs w:val="22"/>
                <w:lang w:val="ro-RO"/>
              </w:rPr>
            </w:pPr>
            <w:r w:rsidRPr="00334495">
              <w:rPr>
                <w:rFonts w:ascii="Arial Nova Light" w:hAnsi="Arial Nova Light" w:cs="Arial"/>
                <w:i/>
                <w:iCs/>
                <w:color w:val="333333"/>
                <w:sz w:val="22"/>
                <w:szCs w:val="22"/>
              </w:rPr>
              <w:t xml:space="preserve">The educational requirements formulated by employers have helped to define the learning outcomes specific to the curriculum. </w:t>
            </w:r>
          </w:p>
          <w:p w14:paraId="67BA1896" w14:textId="77DE7A0A" w:rsidR="009428CB" w:rsidRPr="00334495" w:rsidRDefault="00872A5A" w:rsidP="00872A5A">
            <w:pPr>
              <w:pStyle w:val="TableParagraph"/>
              <w:kinsoku w:val="0"/>
              <w:overflowPunct w:val="0"/>
              <w:spacing w:before="240"/>
              <w:ind w:left="708"/>
              <w:jc w:val="both"/>
              <w:rPr>
                <w:rFonts w:ascii="Arial Nova Light" w:hAnsi="Arial Nova Light"/>
                <w:color w:val="00B050"/>
                <w:sz w:val="22"/>
                <w:szCs w:val="22"/>
                <w:lang w:val="ro-RO"/>
              </w:rPr>
            </w:pPr>
            <w:r w:rsidRPr="00334495">
              <w:rPr>
                <w:rFonts w:ascii="Arial Nova Light" w:hAnsi="Arial Nova Light" w:cs="Arial"/>
                <w:i/>
                <w:iCs/>
                <w:color w:val="333333"/>
                <w:sz w:val="22"/>
                <w:szCs w:val="22"/>
              </w:rPr>
              <w:lastRenderedPageBreak/>
              <w:t>The declared results of the study program allow graduates to be employed on the labor market in positions corresponding to the qualification obtained. Graduates of the study program have clearly defined the perspective of employment on the labor market.</w:t>
            </w:r>
          </w:p>
        </w:tc>
      </w:tr>
      <w:tr w:rsidR="000D2E02" w:rsidRPr="00334495" w14:paraId="76DEA00F" w14:textId="77777777" w:rsidTr="00C65E7A">
        <w:tc>
          <w:tcPr>
            <w:tcW w:w="5000" w:type="pct"/>
          </w:tcPr>
          <w:p w14:paraId="47468163" w14:textId="4CC49453" w:rsidR="000D2E02" w:rsidRPr="00334495" w:rsidRDefault="000D2E02" w:rsidP="000D2E02">
            <w:pPr>
              <w:pStyle w:val="TableParagraph"/>
              <w:kinsoku w:val="0"/>
              <w:overflowPunct w:val="0"/>
              <w:spacing w:line="360" w:lineRule="auto"/>
              <w:jc w:val="both"/>
              <w:rPr>
                <w:rFonts w:ascii="Arial Nova Light" w:hAnsi="Arial Nova Light"/>
                <w:color w:val="007E39"/>
              </w:rPr>
            </w:pPr>
            <w:r w:rsidRPr="00334495">
              <w:rPr>
                <w:rFonts w:ascii="Arial Nova Light" w:hAnsi="Arial Nova Light"/>
                <w:b/>
                <w:bCs/>
                <w:color w:val="007E39"/>
              </w:rPr>
              <w:lastRenderedPageBreak/>
              <w:t>Criterion B.3. Student-Centered Learning, Teaching, and Assessment</w:t>
            </w:r>
          </w:p>
        </w:tc>
      </w:tr>
      <w:tr w:rsidR="000D2E02" w:rsidRPr="00334495" w14:paraId="296AE68B" w14:textId="77777777" w:rsidTr="00C65E7A">
        <w:tc>
          <w:tcPr>
            <w:tcW w:w="5000" w:type="pct"/>
          </w:tcPr>
          <w:p w14:paraId="250E4C10" w14:textId="6D4148C5" w:rsidR="000D2E02" w:rsidRPr="00334495" w:rsidRDefault="004A47DB" w:rsidP="000D2E02">
            <w:pPr>
              <w:pStyle w:val="TableParagraph"/>
              <w:kinsoku w:val="0"/>
              <w:overflowPunct w:val="0"/>
              <w:spacing w:line="276" w:lineRule="auto"/>
              <w:jc w:val="both"/>
              <w:rPr>
                <w:rFonts w:ascii="Arial Nova Light" w:hAnsi="Arial Nova Light"/>
                <w:bCs/>
                <w:color w:val="007E39"/>
                <w:sz w:val="22"/>
              </w:rPr>
            </w:pPr>
            <w:r w:rsidRPr="00334495">
              <w:rPr>
                <w:rFonts w:ascii="Arial Nova Light" w:hAnsi="Arial Nova Light" w:cs="Arial"/>
                <w:color w:val="007E39"/>
                <w:sz w:val="22"/>
                <w:szCs w:val="22"/>
              </w:rPr>
              <w:t xml:space="preserve">Standard </w:t>
            </w:r>
            <w:r w:rsidR="000D2E02" w:rsidRPr="00334495">
              <w:rPr>
                <w:rFonts w:ascii="Arial Nova Light" w:hAnsi="Arial Nova Light"/>
                <w:bCs/>
                <w:color w:val="007E39"/>
                <w:sz w:val="22"/>
              </w:rPr>
              <w:t>S.B.3.1</w:t>
            </w:r>
            <w:r w:rsidR="000D2E02" w:rsidRPr="00334495">
              <w:rPr>
                <w:rFonts w:ascii="Arial Nova Light" w:hAnsi="Arial Nova Light"/>
                <w:bCs/>
                <w:color w:val="007E39"/>
                <w:sz w:val="22"/>
                <w:u w:val="single"/>
              </w:rPr>
              <w:t xml:space="preserve"> Principles</w:t>
            </w:r>
          </w:p>
          <w:p w14:paraId="0958A97D" w14:textId="1F604030" w:rsidR="000D2E02" w:rsidRPr="00334495" w:rsidRDefault="000D2E02" w:rsidP="000D2E02">
            <w:pPr>
              <w:pStyle w:val="TableParagraph"/>
              <w:kinsoku w:val="0"/>
              <w:overflowPunct w:val="0"/>
              <w:jc w:val="both"/>
              <w:rPr>
                <w:rFonts w:ascii="Arial Nova Light" w:hAnsi="Arial Nova Light"/>
                <w:b/>
                <w:bCs/>
                <w:color w:val="007E39"/>
                <w:sz w:val="22"/>
              </w:rPr>
            </w:pPr>
            <w:r w:rsidRPr="00334495">
              <w:rPr>
                <w:rFonts w:ascii="Arial Nova Light" w:hAnsi="Arial Nova Light"/>
                <w:bCs/>
                <w:color w:val="007E39"/>
                <w:sz w:val="22"/>
              </w:rPr>
              <w:t xml:space="preserve">The </w:t>
            </w:r>
            <w:r w:rsidRPr="00334495">
              <w:rPr>
                <w:rFonts w:ascii="Arial Nova Light" w:hAnsi="Arial Nova Light" w:cs="Arial"/>
                <w:color w:val="007E39"/>
                <w:sz w:val="22"/>
                <w:szCs w:val="22"/>
              </w:rPr>
              <w:t>organizational</w:t>
            </w:r>
            <w:r w:rsidRPr="00334495">
              <w:rPr>
                <w:rFonts w:ascii="Arial Nova Light" w:hAnsi="Arial Nova Light"/>
                <w:bCs/>
                <w:color w:val="007E39"/>
                <w:sz w:val="22"/>
              </w:rPr>
              <w:t xml:space="preserve"> component  implements the principles of student-centered learning.</w:t>
            </w:r>
          </w:p>
        </w:tc>
      </w:tr>
      <w:tr w:rsidR="000D2E02" w:rsidRPr="00334495" w14:paraId="2DF86432" w14:textId="77777777" w:rsidTr="00C65E7A">
        <w:tc>
          <w:tcPr>
            <w:tcW w:w="5000" w:type="pct"/>
          </w:tcPr>
          <w:p w14:paraId="575333D5" w14:textId="7BCE7211" w:rsidR="000D2E02" w:rsidRPr="00334495" w:rsidRDefault="00E758E9" w:rsidP="000D2E02">
            <w:pPr>
              <w:pStyle w:val="TableParagraph"/>
              <w:kinsoku w:val="0"/>
              <w:overflowPunct w:val="0"/>
              <w:ind w:left="708"/>
              <w:rPr>
                <w:rFonts w:ascii="Arial Nova Light" w:hAnsi="Arial Nova Light"/>
                <w:b/>
                <w:bCs/>
                <w:color w:val="70AD47" w:themeColor="accent6"/>
                <w:u w:val="single"/>
                <w:lang w:val="ro-RO"/>
              </w:rPr>
            </w:pPr>
            <w:r w:rsidRPr="00334495">
              <w:rPr>
                <w:rFonts w:ascii="Arial Nova Light" w:hAnsi="Arial Nova Light"/>
                <w:color w:val="007E39"/>
                <w:sz w:val="22"/>
                <w:szCs w:val="22"/>
              </w:rPr>
              <w:t xml:space="preserve">Indicator </w:t>
            </w:r>
            <w:r w:rsidR="000D2E02" w:rsidRPr="00334495">
              <w:rPr>
                <w:rFonts w:ascii="Arial Nova Light" w:hAnsi="Arial Nova Light"/>
                <w:color w:val="007E39"/>
                <w:sz w:val="22"/>
              </w:rPr>
              <w:t xml:space="preserve">I.P.B.3.1.1 </w:t>
            </w:r>
            <w:r w:rsidR="000D2E02" w:rsidRPr="00334495">
              <w:rPr>
                <w:rFonts w:ascii="Arial Nova Light" w:hAnsi="Arial Nova Light"/>
                <w:bCs/>
                <w:sz w:val="22"/>
              </w:rPr>
              <w:t>The organizational component ensures the implementation of the principles of student-centered learning within the curriculum and through the didactic strategies used in the learning and teaching activities and experiences.</w:t>
            </w:r>
          </w:p>
        </w:tc>
      </w:tr>
      <w:tr w:rsidR="00E758E9" w:rsidRPr="00334495" w14:paraId="23A499FF" w14:textId="77777777" w:rsidTr="00C65E7A">
        <w:tc>
          <w:tcPr>
            <w:tcW w:w="5000" w:type="pct"/>
          </w:tcPr>
          <w:p w14:paraId="08864F80" w14:textId="0B948DB9" w:rsidR="00E758E9" w:rsidRPr="00334495" w:rsidRDefault="00F07363" w:rsidP="000D2E02">
            <w:pPr>
              <w:pStyle w:val="TableParagraph"/>
              <w:kinsoku w:val="0"/>
              <w:overflowPunct w:val="0"/>
              <w:ind w:left="708"/>
              <w:rPr>
                <w:rFonts w:ascii="Arial Nova Light" w:hAnsi="Arial Nova Light"/>
                <w:b/>
                <w:bCs/>
                <w:color w:val="007E39"/>
                <w:sz w:val="22"/>
                <w:lang w:val="ro-RO"/>
              </w:rPr>
            </w:pPr>
            <w:r w:rsidRPr="00334495">
              <w:rPr>
                <w:rFonts w:ascii="Arial Nova Light" w:hAnsi="Arial Nova Light"/>
                <w:color w:val="007E39"/>
                <w:sz w:val="22"/>
                <w:szCs w:val="22"/>
              </w:rPr>
              <w:t xml:space="preserve">Indicator I.P.B.3.1.2 </w:t>
            </w:r>
            <w:r w:rsidR="002911FE" w:rsidRPr="00334495">
              <w:rPr>
                <w:rFonts w:ascii="Arial Nova Light" w:hAnsi="Arial Nova Light"/>
                <w:sz w:val="22"/>
                <w:szCs w:val="22"/>
              </w:rPr>
              <w:t>The organizational component provides opportunities for students to participate in academic mobility programs, carried out with physical and/or virtual presence.</w:t>
            </w:r>
          </w:p>
        </w:tc>
      </w:tr>
      <w:tr w:rsidR="004A47DB" w:rsidRPr="00334495" w14:paraId="0EF4F8C6" w14:textId="77777777" w:rsidTr="00C65E7A">
        <w:tc>
          <w:tcPr>
            <w:tcW w:w="5000" w:type="pct"/>
          </w:tcPr>
          <w:p w14:paraId="1AB7B0B1" w14:textId="77777777" w:rsidR="004A47DB" w:rsidRPr="00334495" w:rsidRDefault="00156852" w:rsidP="00156852">
            <w:pPr>
              <w:pStyle w:val="TableParagraph"/>
              <w:kinsoku w:val="0"/>
              <w:overflowPunct w:val="0"/>
              <w:rPr>
                <w:rFonts w:ascii="Arial Nova Light" w:hAnsi="Arial Nova Light"/>
                <w:color w:val="007E39"/>
                <w:sz w:val="22"/>
                <w:szCs w:val="22"/>
                <w:u w:val="single"/>
                <w:lang w:val="ro-RO"/>
              </w:rPr>
            </w:pPr>
            <w:r w:rsidRPr="00334495">
              <w:rPr>
                <w:rFonts w:ascii="Arial Nova Light" w:hAnsi="Arial Nova Light"/>
                <w:color w:val="007E39"/>
                <w:sz w:val="22"/>
                <w:szCs w:val="22"/>
              </w:rPr>
              <w:t xml:space="preserve">Standard S.B.3.2. </w:t>
            </w:r>
            <w:r w:rsidRPr="00334495">
              <w:rPr>
                <w:rFonts w:ascii="Arial Nova Light" w:hAnsi="Arial Nova Light"/>
                <w:color w:val="007E39"/>
                <w:sz w:val="22"/>
                <w:szCs w:val="22"/>
                <w:u w:val="single"/>
              </w:rPr>
              <w:t>Fairness</w:t>
            </w:r>
          </w:p>
          <w:p w14:paraId="750D013A" w14:textId="4EFA04C7" w:rsidR="00156852" w:rsidRPr="00334495" w:rsidRDefault="00581BAE" w:rsidP="00156852">
            <w:pPr>
              <w:pStyle w:val="TableParagraph"/>
              <w:kinsoku w:val="0"/>
              <w:overflowPunct w:val="0"/>
              <w:rPr>
                <w:rFonts w:ascii="Arial Nova Light" w:hAnsi="Arial Nova Light"/>
                <w:color w:val="007E39"/>
                <w:sz w:val="22"/>
                <w:szCs w:val="22"/>
                <w:lang w:val="ro-RO"/>
              </w:rPr>
            </w:pPr>
            <w:r w:rsidRPr="00334495">
              <w:rPr>
                <w:rFonts w:ascii="Arial Nova Light" w:hAnsi="Arial Nova Light"/>
                <w:color w:val="007E39"/>
                <w:sz w:val="22"/>
                <w:szCs w:val="22"/>
              </w:rPr>
              <w:t>The organizational component ensures fair opportunities for students.</w:t>
            </w:r>
          </w:p>
        </w:tc>
      </w:tr>
      <w:tr w:rsidR="00A37C81" w:rsidRPr="00334495" w14:paraId="4A82D00C" w14:textId="77777777" w:rsidTr="00C65E7A">
        <w:tc>
          <w:tcPr>
            <w:tcW w:w="5000" w:type="pct"/>
          </w:tcPr>
          <w:p w14:paraId="222041A3" w14:textId="71447BA5" w:rsidR="00A37C81" w:rsidRPr="00334495" w:rsidRDefault="009B5C36" w:rsidP="00C36606">
            <w:pPr>
              <w:pStyle w:val="TableParagraph"/>
              <w:kinsoku w:val="0"/>
              <w:overflowPunct w:val="0"/>
              <w:ind w:left="708"/>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I.P.B.3.2.1 </w:t>
            </w:r>
            <w:r w:rsidR="001371A0" w:rsidRPr="00334495">
              <w:rPr>
                <w:rFonts w:ascii="Arial Nova Light" w:hAnsi="Arial Nova Light"/>
                <w:sz w:val="22"/>
                <w:szCs w:val="22"/>
              </w:rPr>
              <w:t>The organisational component ensures equitable opportunities for students, in line with their potential and aspirations, taking into account the diversity of learning styles and abilities.</w:t>
            </w:r>
          </w:p>
        </w:tc>
      </w:tr>
      <w:tr w:rsidR="000D2E02" w:rsidRPr="00334495" w14:paraId="26A1AA84" w14:textId="77777777" w:rsidTr="00C65E7A">
        <w:tc>
          <w:tcPr>
            <w:tcW w:w="5000" w:type="pct"/>
          </w:tcPr>
          <w:p w14:paraId="047C10EB" w14:textId="0877429E" w:rsidR="000D2E02" w:rsidRPr="00334495" w:rsidRDefault="000D2E02" w:rsidP="000D2E02">
            <w:pPr>
              <w:pStyle w:val="BodyText"/>
              <w:tabs>
                <w:tab w:val="left" w:pos="601"/>
              </w:tabs>
              <w:kinsoku w:val="0"/>
              <w:overflowPunct w:val="0"/>
              <w:spacing w:before="0" w:line="360" w:lineRule="auto"/>
              <w:ind w:left="0"/>
              <w:jc w:val="both"/>
              <w:rPr>
                <w:rFonts w:ascii="Arial Nova Light" w:hAnsi="Arial Nova Light"/>
                <w:b/>
                <w:bCs/>
                <w:color w:val="007E39"/>
                <w:sz w:val="24"/>
                <w:szCs w:val="22"/>
                <w:lang w:val="ro-RO"/>
              </w:rPr>
            </w:pPr>
            <w:r w:rsidRPr="00334495">
              <w:rPr>
                <w:rFonts w:ascii="Arial Nova Light" w:hAnsi="Arial Nova Light"/>
                <w:b/>
                <w:bCs/>
                <w:color w:val="007E39"/>
                <w:sz w:val="24"/>
                <w:szCs w:val="22"/>
              </w:rPr>
              <w:t>Criterion B.4. Accessibility and efficiency of resources and support services appropriate to learning</w:t>
            </w:r>
          </w:p>
        </w:tc>
      </w:tr>
      <w:tr w:rsidR="000D2E02" w:rsidRPr="00334495" w14:paraId="4123DCCB" w14:textId="77777777" w:rsidTr="00C65E7A">
        <w:tc>
          <w:tcPr>
            <w:tcW w:w="5000" w:type="pct"/>
          </w:tcPr>
          <w:p w14:paraId="6A0CB6BA" w14:textId="77777777" w:rsidR="000D2E02" w:rsidRPr="00334495" w:rsidRDefault="000D2E02" w:rsidP="000D2E02">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S.B.4.1. </w:t>
            </w:r>
            <w:r w:rsidRPr="00334495">
              <w:rPr>
                <w:rFonts w:ascii="Arial Nova Light" w:hAnsi="Arial Nova Light" w:cs="Arial"/>
                <w:color w:val="007E39"/>
                <w:sz w:val="22"/>
                <w:szCs w:val="22"/>
                <w:u w:val="single"/>
              </w:rPr>
              <w:t>Access to resources and services</w:t>
            </w:r>
          </w:p>
          <w:p w14:paraId="6C8839F2" w14:textId="04CAE56D" w:rsidR="000D2E02" w:rsidRPr="00334495" w:rsidRDefault="000D2E02" w:rsidP="000D2E02">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organizational component ensures access to resources and support services appropriate to the needs of students. </w:t>
            </w:r>
          </w:p>
        </w:tc>
      </w:tr>
      <w:tr w:rsidR="000D2E02" w:rsidRPr="00334495" w14:paraId="0C8EA308" w14:textId="77777777" w:rsidTr="00C65E7A">
        <w:tc>
          <w:tcPr>
            <w:tcW w:w="5000" w:type="pct"/>
          </w:tcPr>
          <w:p w14:paraId="49C70B92" w14:textId="77777777" w:rsidR="000D2E02" w:rsidRPr="00334495" w:rsidRDefault="000D2E02" w:rsidP="000D2E02">
            <w:pPr>
              <w:pStyle w:val="TableParagraph"/>
              <w:kinsoku w:val="0"/>
              <w:overflowPunct w:val="0"/>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I.P.B.4.1.1 </w:t>
            </w:r>
            <w:r w:rsidRPr="00334495">
              <w:rPr>
                <w:rFonts w:ascii="Arial Nova Light" w:hAnsi="Arial Nova Light" w:cs="Arial"/>
                <w:color w:val="333333"/>
                <w:sz w:val="22"/>
                <w:szCs w:val="22"/>
              </w:rPr>
              <w:t>The organizational component ensures access for students, including those with special educational needs/disabilities, to resources and services designed to support the learning process, appropriate in relation to individual learning needs, the field of study, the study cycle and the form of organization of the study program.</w:t>
            </w:r>
          </w:p>
          <w:p w14:paraId="357B0B24" w14:textId="77777777" w:rsidR="00D60CB5" w:rsidRPr="00334495" w:rsidRDefault="00D60CB5" w:rsidP="000D2E02">
            <w:pPr>
              <w:pStyle w:val="TableParagraph"/>
              <w:kinsoku w:val="0"/>
              <w:overflowPunct w:val="0"/>
              <w:ind w:left="708"/>
              <w:jc w:val="both"/>
              <w:rPr>
                <w:rFonts w:ascii="Arial Nova Light" w:hAnsi="Arial Nova Light" w:cs="Arial"/>
                <w:color w:val="70AD47" w:themeColor="accent6"/>
                <w:sz w:val="22"/>
                <w:szCs w:val="22"/>
                <w:lang w:val="ro-RO"/>
              </w:rPr>
            </w:pPr>
          </w:p>
          <w:p w14:paraId="61F8457C" w14:textId="034E8D15" w:rsidR="00D60CB5" w:rsidRPr="00334495" w:rsidRDefault="001C0DAE" w:rsidP="000D2E02">
            <w:pPr>
              <w:pStyle w:val="TableParagraph"/>
              <w:kinsoku w:val="0"/>
              <w:overflowPunct w:val="0"/>
              <w:ind w:left="708"/>
              <w:jc w:val="both"/>
              <w:rPr>
                <w:rFonts w:ascii="Arial Nova Light" w:hAnsi="Arial Nova Light" w:cs="Arial"/>
                <w:i/>
                <w:iCs/>
                <w:color w:val="70AD47" w:themeColor="accent6"/>
                <w:sz w:val="22"/>
                <w:szCs w:val="22"/>
                <w:lang w:val="ro-RO"/>
              </w:rPr>
            </w:pPr>
            <w:r w:rsidRPr="00334495">
              <w:rPr>
                <w:rFonts w:ascii="Arial Nova Light" w:hAnsi="Arial Nova Light" w:cs="Arial"/>
                <w:i/>
                <w:iCs/>
                <w:sz w:val="22"/>
                <w:szCs w:val="22"/>
              </w:rPr>
              <w:t>The study program provides students with relevant support for the learning process (career counseling, tutoring and assistance), thus facilitating the acquisition of knowledge and skills, respectively promotion in a year of higher study.</w:t>
            </w:r>
          </w:p>
        </w:tc>
      </w:tr>
      <w:tr w:rsidR="000D2E02" w:rsidRPr="00334495" w14:paraId="23EBE590" w14:textId="77777777" w:rsidTr="00C65E7A">
        <w:tc>
          <w:tcPr>
            <w:tcW w:w="5000" w:type="pct"/>
          </w:tcPr>
          <w:p w14:paraId="06130D25" w14:textId="4E8063D9" w:rsidR="000D2E02" w:rsidRPr="00334495" w:rsidRDefault="000D2E02" w:rsidP="000D2E02">
            <w:pPr>
              <w:pStyle w:val="BodyText"/>
              <w:tabs>
                <w:tab w:val="left" w:pos="601"/>
              </w:tabs>
              <w:kinsoku w:val="0"/>
              <w:overflowPunct w:val="0"/>
              <w:spacing w:before="0" w:line="360" w:lineRule="auto"/>
              <w:ind w:left="0"/>
              <w:jc w:val="both"/>
              <w:rPr>
                <w:rFonts w:ascii="Arial Nova Light" w:hAnsi="Arial Nova Light"/>
                <w:b/>
                <w:bCs/>
                <w:color w:val="007E39"/>
                <w:sz w:val="22"/>
                <w:szCs w:val="22"/>
                <w:lang w:val="ro-RO"/>
              </w:rPr>
            </w:pPr>
            <w:r w:rsidRPr="00334495">
              <w:rPr>
                <w:rFonts w:ascii="Arial Nova Light" w:hAnsi="Arial Nova Light"/>
                <w:b/>
                <w:bCs/>
                <w:color w:val="007E39"/>
                <w:sz w:val="24"/>
                <w:szCs w:val="22"/>
              </w:rPr>
              <w:t>Criterion B.5. Learning outcomes</w:t>
            </w:r>
          </w:p>
        </w:tc>
      </w:tr>
      <w:tr w:rsidR="000D2E02" w:rsidRPr="00334495" w14:paraId="6ECEE02D" w14:textId="77777777" w:rsidTr="00C65E7A">
        <w:tc>
          <w:tcPr>
            <w:tcW w:w="5000" w:type="pct"/>
          </w:tcPr>
          <w:p w14:paraId="253A9D5A" w14:textId="77777777" w:rsidR="000D2E02" w:rsidRPr="00334495" w:rsidRDefault="000D2E02" w:rsidP="000D2E02">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S.B.5.1. </w:t>
            </w:r>
            <w:r w:rsidRPr="00334495">
              <w:rPr>
                <w:rFonts w:ascii="Arial Nova Light" w:hAnsi="Arial Nova Light" w:cs="Arial"/>
                <w:color w:val="007E39"/>
                <w:sz w:val="22"/>
                <w:szCs w:val="22"/>
                <w:u w:val="single"/>
              </w:rPr>
              <w:t>Definition and evaluation</w:t>
            </w:r>
          </w:p>
          <w:p w14:paraId="70E3D0D1" w14:textId="17934567" w:rsidR="000D2E02" w:rsidRPr="00334495" w:rsidRDefault="000D2E02" w:rsidP="000D2E02">
            <w:pPr>
              <w:pStyle w:val="BodyText"/>
              <w:tabs>
                <w:tab w:val="left" w:pos="601"/>
              </w:tabs>
              <w:kinsoku w:val="0"/>
              <w:overflowPunct w:val="0"/>
              <w:spacing w:before="0"/>
              <w:ind w:left="0"/>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definition and evaluation of learning outcomes is carried out adequately. </w:t>
            </w:r>
          </w:p>
        </w:tc>
      </w:tr>
      <w:tr w:rsidR="000D2E02" w:rsidRPr="00334495" w14:paraId="1B7BC7C3" w14:textId="77777777" w:rsidTr="00C65E7A">
        <w:tc>
          <w:tcPr>
            <w:tcW w:w="5000" w:type="pct"/>
          </w:tcPr>
          <w:p w14:paraId="3D0EC011" w14:textId="77777777" w:rsidR="000D2E02" w:rsidRPr="00334495" w:rsidRDefault="000D2E02" w:rsidP="000D2E02">
            <w:pPr>
              <w:pStyle w:val="TableParagraph"/>
              <w:kinsoku w:val="0"/>
              <w:overflowPunct w:val="0"/>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I.P.B.5.1.1 </w:t>
            </w:r>
            <w:r w:rsidRPr="00334495">
              <w:rPr>
                <w:rFonts w:ascii="Arial Nova Light" w:hAnsi="Arial Nova Light" w:cs="Arial"/>
                <w:color w:val="333333"/>
                <w:sz w:val="22"/>
                <w:szCs w:val="22"/>
              </w:rPr>
              <w:t>Learning outcomes are adequately described and support the understanding of student and teacher expectations regarding the content of the subjects in the curriculum.</w:t>
            </w:r>
          </w:p>
          <w:p w14:paraId="4CD37C7D" w14:textId="77777777" w:rsidR="007B1378" w:rsidRPr="00334495" w:rsidRDefault="007B1378" w:rsidP="000D2E02">
            <w:pPr>
              <w:pStyle w:val="TableParagraph"/>
              <w:kinsoku w:val="0"/>
              <w:overflowPunct w:val="0"/>
              <w:ind w:left="708"/>
              <w:jc w:val="both"/>
              <w:rPr>
                <w:rFonts w:ascii="Arial Nova Light" w:hAnsi="Arial Nova Light" w:cs="Arial"/>
                <w:color w:val="70AD47" w:themeColor="accent6"/>
                <w:sz w:val="22"/>
                <w:szCs w:val="22"/>
                <w:lang w:val="ro-RO"/>
              </w:rPr>
            </w:pPr>
          </w:p>
          <w:p w14:paraId="32239E47" w14:textId="0A11DEEF" w:rsidR="007B1378" w:rsidRPr="00334495" w:rsidRDefault="007B1378" w:rsidP="000D2E02">
            <w:pPr>
              <w:pStyle w:val="TableParagraph"/>
              <w:kinsoku w:val="0"/>
              <w:overflowPunct w:val="0"/>
              <w:ind w:left="708"/>
              <w:jc w:val="both"/>
              <w:rPr>
                <w:rFonts w:ascii="Arial Nova Light" w:hAnsi="Arial Nova Light" w:cs="Arial"/>
                <w:i/>
                <w:iCs/>
                <w:color w:val="70AD47" w:themeColor="accent6"/>
                <w:sz w:val="22"/>
                <w:szCs w:val="22"/>
                <w:lang w:val="ro-RO"/>
              </w:rPr>
            </w:pPr>
            <w:r w:rsidRPr="00334495">
              <w:rPr>
                <w:rFonts w:ascii="Arial Nova Light" w:hAnsi="Arial Nova Light" w:cs="Arial"/>
                <w:i/>
                <w:iCs/>
                <w:sz w:val="22"/>
                <w:szCs w:val="22"/>
              </w:rPr>
              <w:t>The results of the study program have been established according to what students should know (the correspondence between the content of the educational process and the learning outcomes specified in the diploma supplement), understand and/or be able to demonstrate after the completion of the learning process. They are in full agreement with EAFSG standards.</w:t>
            </w:r>
          </w:p>
        </w:tc>
      </w:tr>
      <w:tr w:rsidR="000D2E02" w:rsidRPr="00334495" w14:paraId="6AEDC13B" w14:textId="77777777" w:rsidTr="00C65E7A">
        <w:tc>
          <w:tcPr>
            <w:tcW w:w="5000" w:type="pct"/>
          </w:tcPr>
          <w:p w14:paraId="17B699DB" w14:textId="77777777"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pacing w:val="-1"/>
                <w:sz w:val="22"/>
                <w:szCs w:val="22"/>
                <w:lang w:val="ro-RO"/>
              </w:rPr>
            </w:pPr>
            <w:r w:rsidRPr="00334495">
              <w:rPr>
                <w:rFonts w:ascii="Arial Nova Light" w:hAnsi="Arial Nova Light"/>
                <w:color w:val="007E39"/>
                <w:sz w:val="22"/>
                <w:szCs w:val="22"/>
              </w:rPr>
              <w:t xml:space="preserve">Indicator I.P.B.5.1.2 </w:t>
            </w:r>
            <w:r w:rsidRPr="00334495">
              <w:rPr>
                <w:rFonts w:ascii="Arial Nova Light" w:hAnsi="Arial Nova Light" w:cs="Arial"/>
                <w:color w:val="333333"/>
                <w:spacing w:val="-1"/>
                <w:sz w:val="22"/>
                <w:szCs w:val="22"/>
              </w:rPr>
              <w:t>The verification of the achievement of learning outcomes is carried out through evaluation exams along the way and through graduation exams.</w:t>
            </w:r>
          </w:p>
          <w:p w14:paraId="017EFE33" w14:textId="77777777" w:rsidR="000D2E02" w:rsidRPr="00334495" w:rsidRDefault="000D2E02" w:rsidP="000D2E02">
            <w:pPr>
              <w:pStyle w:val="TableParagraph"/>
              <w:kinsoku w:val="0"/>
              <w:overflowPunct w:val="0"/>
              <w:spacing w:line="276" w:lineRule="auto"/>
              <w:ind w:left="708"/>
              <w:jc w:val="both"/>
              <w:rPr>
                <w:rFonts w:ascii="Arial Nova Light" w:hAnsi="Arial Nova Light"/>
                <w:color w:val="70AD47" w:themeColor="accent6"/>
                <w:sz w:val="22"/>
                <w:szCs w:val="22"/>
                <w:lang w:val="ro-RO"/>
              </w:rPr>
            </w:pPr>
          </w:p>
          <w:p w14:paraId="1EEFE165" w14:textId="326F102E" w:rsidR="00725791" w:rsidRPr="00334495" w:rsidRDefault="00725791" w:rsidP="00725791">
            <w:pPr>
              <w:pStyle w:val="TableParagraph"/>
              <w:kinsoku w:val="0"/>
              <w:overflowPunct w:val="0"/>
              <w:spacing w:line="276" w:lineRule="auto"/>
              <w:ind w:left="708"/>
              <w:jc w:val="both"/>
              <w:rPr>
                <w:rFonts w:ascii="Arial Nova Light" w:hAnsi="Arial Nova Light"/>
                <w:i/>
                <w:iCs/>
                <w:sz w:val="22"/>
                <w:szCs w:val="22"/>
                <w:lang w:val="ro-RO"/>
              </w:rPr>
            </w:pPr>
            <w:r w:rsidRPr="00334495">
              <w:rPr>
                <w:rFonts w:ascii="Arial Nova Light" w:hAnsi="Arial Nova Light"/>
                <w:i/>
                <w:iCs/>
                <w:sz w:val="22"/>
                <w:szCs w:val="22"/>
              </w:rPr>
              <w:t>The development of competences by students (by acquiring the knowledge and skills provided in the subject sheets) is adequately assessed, on the 8 learning areas defined by the EAFSG standards.</w:t>
            </w:r>
          </w:p>
          <w:p w14:paraId="4294EFAB" w14:textId="77777777" w:rsidR="00725791" w:rsidRPr="00334495" w:rsidRDefault="00725791" w:rsidP="00725791">
            <w:pPr>
              <w:pStyle w:val="TableParagraph"/>
              <w:kinsoku w:val="0"/>
              <w:overflowPunct w:val="0"/>
              <w:spacing w:line="276" w:lineRule="auto"/>
              <w:ind w:left="708"/>
              <w:jc w:val="both"/>
              <w:rPr>
                <w:rFonts w:ascii="Arial Nova Light" w:hAnsi="Arial Nova Light"/>
                <w:i/>
                <w:iCs/>
                <w:sz w:val="22"/>
                <w:szCs w:val="22"/>
                <w:lang w:val="ro-RO"/>
              </w:rPr>
            </w:pPr>
          </w:p>
          <w:p w14:paraId="346D94AF" w14:textId="73A69244" w:rsidR="00725791" w:rsidRPr="00334495" w:rsidRDefault="00725791" w:rsidP="00725791">
            <w:pPr>
              <w:pStyle w:val="TableParagraph"/>
              <w:kinsoku w:val="0"/>
              <w:overflowPunct w:val="0"/>
              <w:spacing w:line="276" w:lineRule="auto"/>
              <w:ind w:left="708"/>
              <w:jc w:val="both"/>
              <w:rPr>
                <w:rFonts w:ascii="Arial Nova Light" w:hAnsi="Arial Nova Light"/>
                <w:color w:val="70AD47" w:themeColor="accent6"/>
                <w:sz w:val="22"/>
                <w:szCs w:val="22"/>
                <w:lang w:val="ro-RO"/>
              </w:rPr>
            </w:pPr>
            <w:r w:rsidRPr="00334495">
              <w:rPr>
                <w:rFonts w:ascii="Arial Nova Light" w:hAnsi="Arial Nova Light"/>
                <w:i/>
                <w:iCs/>
                <w:sz w:val="22"/>
                <w:szCs w:val="22"/>
              </w:rPr>
              <w:lastRenderedPageBreak/>
              <w:t>The theme for the elaboration of the final studies (diploma projects) is established in collaboration with the economic environment.</w:t>
            </w:r>
          </w:p>
        </w:tc>
      </w:tr>
      <w:tr w:rsidR="00F659B0" w:rsidRPr="00334495" w14:paraId="38789F24" w14:textId="77777777" w:rsidTr="00C65E7A">
        <w:tc>
          <w:tcPr>
            <w:tcW w:w="5000" w:type="pct"/>
          </w:tcPr>
          <w:p w14:paraId="1A1A8359" w14:textId="77777777" w:rsidR="00F563A9" w:rsidRPr="00334495" w:rsidRDefault="00F563A9" w:rsidP="00F563A9">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lastRenderedPageBreak/>
              <w:t xml:space="preserve">Standard S.B.6.1. </w:t>
            </w:r>
            <w:r w:rsidRPr="00334495">
              <w:rPr>
                <w:rFonts w:ascii="Arial Nova Light" w:hAnsi="Arial Nova Light"/>
                <w:color w:val="007E39"/>
                <w:sz w:val="22"/>
                <w:szCs w:val="22"/>
                <w:u w:val="single"/>
              </w:rPr>
              <w:t xml:space="preserve">Insertion </w:t>
            </w:r>
          </w:p>
          <w:p w14:paraId="5BE69896" w14:textId="062DA3E2" w:rsidR="00F659B0" w:rsidRPr="00334495" w:rsidRDefault="00F563A9" w:rsidP="00F563A9">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The organizational component supports the insertion of graduates on the labor market.</w:t>
            </w:r>
          </w:p>
        </w:tc>
      </w:tr>
      <w:tr w:rsidR="0064112D" w:rsidRPr="00334495" w14:paraId="1AE79653" w14:textId="77777777" w:rsidTr="00C65E7A">
        <w:tc>
          <w:tcPr>
            <w:tcW w:w="5000" w:type="pct"/>
          </w:tcPr>
          <w:p w14:paraId="0C41982D" w14:textId="6B485642" w:rsidR="005350A7" w:rsidRPr="00334495" w:rsidRDefault="0004246F" w:rsidP="00C36606">
            <w:pPr>
              <w:pStyle w:val="TableParagraph"/>
              <w:kinsoku w:val="0"/>
              <w:overflowPunct w:val="0"/>
              <w:spacing w:line="276" w:lineRule="auto"/>
              <w:ind w:left="708"/>
              <w:jc w:val="both"/>
              <w:rPr>
                <w:rFonts w:ascii="Arial Nova Light" w:hAnsi="Arial Nova Light"/>
                <w:sz w:val="22"/>
                <w:szCs w:val="22"/>
                <w:lang w:val="ro-RO"/>
              </w:rPr>
            </w:pPr>
            <w:r w:rsidRPr="00334495">
              <w:rPr>
                <w:rFonts w:ascii="Arial Nova Light" w:hAnsi="Arial Nova Light"/>
                <w:color w:val="007E39"/>
                <w:sz w:val="22"/>
                <w:szCs w:val="22"/>
              </w:rPr>
              <w:t xml:space="preserve">Indicator I.P.B.6.1.1 </w:t>
            </w:r>
            <w:r w:rsidR="005350A7" w:rsidRPr="00334495">
              <w:rPr>
                <w:rFonts w:ascii="Arial Nova Light" w:hAnsi="Arial Nova Light"/>
                <w:sz w:val="22"/>
                <w:szCs w:val="22"/>
              </w:rPr>
              <w:t xml:space="preserve">The organisational component carries out systematic activities to ensure a smooth transition of graduates from apprenticeship to the labour market. </w:t>
            </w:r>
          </w:p>
          <w:p w14:paraId="2513F442" w14:textId="77777777" w:rsidR="00A90DD7" w:rsidRDefault="00A90DD7" w:rsidP="00C36606">
            <w:pPr>
              <w:pStyle w:val="TableParagraph"/>
              <w:kinsoku w:val="0"/>
              <w:overflowPunct w:val="0"/>
              <w:spacing w:line="276" w:lineRule="auto"/>
              <w:ind w:left="708"/>
              <w:jc w:val="both"/>
              <w:rPr>
                <w:rFonts w:ascii="Arial Nova Light" w:hAnsi="Arial Nova Light"/>
                <w:i/>
                <w:iCs/>
                <w:sz w:val="22"/>
                <w:szCs w:val="22"/>
              </w:rPr>
            </w:pPr>
          </w:p>
          <w:p w14:paraId="0A0FCAE6" w14:textId="1FC35EAE" w:rsidR="0064112D" w:rsidRPr="00334495" w:rsidRDefault="005350A7" w:rsidP="00C36606">
            <w:pPr>
              <w:pStyle w:val="TableParagraph"/>
              <w:kinsoku w:val="0"/>
              <w:overflowPunct w:val="0"/>
              <w:spacing w:line="276" w:lineRule="auto"/>
              <w:ind w:left="708"/>
              <w:jc w:val="both"/>
              <w:rPr>
                <w:rFonts w:ascii="Arial Nova Light" w:hAnsi="Arial Nova Light"/>
                <w:i/>
                <w:iCs/>
                <w:color w:val="007E39"/>
                <w:sz w:val="22"/>
                <w:szCs w:val="22"/>
                <w:lang w:val="ro-RO"/>
              </w:rPr>
            </w:pPr>
            <w:r w:rsidRPr="00334495">
              <w:rPr>
                <w:rFonts w:ascii="Arial Nova Light" w:hAnsi="Arial Nova Light"/>
                <w:i/>
                <w:iCs/>
                <w:sz w:val="22"/>
                <w:szCs w:val="22"/>
              </w:rPr>
              <w:t>The higher education institution conducts periodic consultations with representatives of the academic environment, including students, of the socio-economic and cultural-artistic environment and of the labor market, regarding the objectives and declared results of the study program. These consultations are carried out in an organised setting and are documented.</w:t>
            </w:r>
          </w:p>
        </w:tc>
      </w:tr>
      <w:tr w:rsidR="000D2E02" w:rsidRPr="00334495" w14:paraId="4D31588C" w14:textId="77777777" w:rsidTr="00C65E7A">
        <w:trPr>
          <w:trHeight w:val="450"/>
        </w:trPr>
        <w:tc>
          <w:tcPr>
            <w:tcW w:w="5000" w:type="pct"/>
          </w:tcPr>
          <w:p w14:paraId="43B33627" w14:textId="15592273" w:rsidR="000D2E02" w:rsidRPr="00334495" w:rsidRDefault="000D2E02" w:rsidP="000D2E02">
            <w:pPr>
              <w:pStyle w:val="TableParagraph"/>
              <w:kinsoku w:val="0"/>
              <w:overflowPunct w:val="0"/>
              <w:spacing w:line="276" w:lineRule="auto"/>
              <w:jc w:val="both"/>
              <w:rPr>
                <w:rFonts w:ascii="Arial Nova Light" w:hAnsi="Arial Nova Light" w:cs="Arial"/>
                <w:b/>
                <w:bCs/>
                <w:color w:val="007E39"/>
                <w:spacing w:val="-1"/>
                <w:lang w:val="ro-RO"/>
              </w:rPr>
            </w:pPr>
            <w:r w:rsidRPr="00334495">
              <w:rPr>
                <w:rFonts w:ascii="Arial Nova Light" w:hAnsi="Arial Nova Light" w:cs="Arial"/>
                <w:b/>
                <w:bCs/>
                <w:color w:val="007E39"/>
              </w:rPr>
              <w:t>Criterion B.7. Procedures and practices regarding the admission competition, the path, recognition and equivalence of studies, as well as the certification of results</w:t>
            </w:r>
          </w:p>
        </w:tc>
      </w:tr>
      <w:tr w:rsidR="000D2E02" w:rsidRPr="00334495" w14:paraId="30D9711E" w14:textId="77777777" w:rsidTr="00C65E7A">
        <w:tc>
          <w:tcPr>
            <w:tcW w:w="5000" w:type="pct"/>
          </w:tcPr>
          <w:p w14:paraId="68127789" w14:textId="77777777" w:rsidR="000D2E02" w:rsidRPr="00334495" w:rsidRDefault="000D2E02" w:rsidP="000D2E02">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S.B.7.1. </w:t>
            </w:r>
            <w:r w:rsidRPr="00334495">
              <w:rPr>
                <w:rFonts w:ascii="Arial Nova Light" w:hAnsi="Arial Nova Light" w:cs="Arial"/>
                <w:color w:val="007E39"/>
                <w:sz w:val="22"/>
                <w:szCs w:val="22"/>
                <w:u w:val="single"/>
              </w:rPr>
              <w:t>Admission</w:t>
            </w:r>
          </w:p>
          <w:p w14:paraId="6D4CA817" w14:textId="2780BA0F" w:rsidR="000D2E02" w:rsidRPr="00334495" w:rsidRDefault="000D2E02" w:rsidP="000D2E02">
            <w:pPr>
              <w:pStyle w:val="TableParagraph"/>
              <w:kinsoku w:val="0"/>
              <w:overflowPunct w:val="0"/>
              <w:spacing w:line="276" w:lineRule="auto"/>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The admission procedures and principles ensure access to higher education.</w:t>
            </w:r>
          </w:p>
        </w:tc>
      </w:tr>
      <w:tr w:rsidR="000D2E02" w:rsidRPr="00334495" w14:paraId="2170988A" w14:textId="77777777" w:rsidTr="00C65E7A">
        <w:tc>
          <w:tcPr>
            <w:tcW w:w="5000" w:type="pct"/>
          </w:tcPr>
          <w:p w14:paraId="5C3CBECD" w14:textId="17C610A5" w:rsidR="000D2E02" w:rsidRPr="00334495" w:rsidRDefault="000D2E02" w:rsidP="000D2E0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r w:rsidRPr="00334495">
              <w:rPr>
                <w:rFonts w:ascii="Arial Nova Light" w:hAnsi="Arial Nova Light"/>
                <w:color w:val="007E39"/>
                <w:sz w:val="22"/>
                <w:szCs w:val="22"/>
              </w:rPr>
              <w:t xml:space="preserve">Indicator I.P.B.7.1.1 </w:t>
            </w:r>
            <w:r w:rsidRPr="00334495">
              <w:rPr>
                <w:rFonts w:ascii="Arial Nova Light" w:hAnsi="Arial Nova Light" w:cs="Arial"/>
                <w:color w:val="333333"/>
                <w:sz w:val="22"/>
                <w:szCs w:val="22"/>
              </w:rPr>
              <w:t>The organizational component applies the procedures regarding admission.</w:t>
            </w:r>
          </w:p>
        </w:tc>
      </w:tr>
      <w:tr w:rsidR="000D2E02" w:rsidRPr="00334495" w14:paraId="242035C0" w14:textId="77777777" w:rsidTr="00C65E7A">
        <w:tc>
          <w:tcPr>
            <w:tcW w:w="5000" w:type="pct"/>
          </w:tcPr>
          <w:p w14:paraId="5ABD1D77" w14:textId="740DE011"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I.P.B.7.1.2 </w:t>
            </w:r>
            <w:r w:rsidRPr="00334495">
              <w:rPr>
                <w:rFonts w:ascii="Arial Nova Light" w:hAnsi="Arial Nova Light" w:cs="Arial"/>
                <w:color w:val="333333"/>
                <w:sz w:val="22"/>
                <w:szCs w:val="22"/>
              </w:rPr>
              <w:t>Admission to university study programs is carried out in compliance with the principles of equity and equal opportunities, as well as with the establishment of support measures to ensure the access of vulnerable groups, in situations of social and educational risk, including candidates with special educational needs and/or disabilities.</w:t>
            </w:r>
          </w:p>
        </w:tc>
      </w:tr>
      <w:tr w:rsidR="000D2E02" w:rsidRPr="00334495" w14:paraId="0AB9D78A" w14:textId="77777777" w:rsidTr="00C65E7A">
        <w:tc>
          <w:tcPr>
            <w:tcW w:w="5000" w:type="pct"/>
          </w:tcPr>
          <w:p w14:paraId="2B2FB54B" w14:textId="77777777" w:rsidR="000D2E02" w:rsidRPr="00334495" w:rsidRDefault="000D2E02" w:rsidP="000D2E02">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S.B.7.2. </w:t>
            </w:r>
            <w:r w:rsidRPr="00334495">
              <w:rPr>
                <w:rFonts w:ascii="Arial Nova Light" w:hAnsi="Arial Nova Light" w:cs="Arial"/>
                <w:color w:val="007E39"/>
                <w:sz w:val="22"/>
                <w:szCs w:val="22"/>
                <w:u w:val="single"/>
              </w:rPr>
              <w:t>Students' academic path</w:t>
            </w:r>
          </w:p>
          <w:p w14:paraId="5023DBF3" w14:textId="604AC93F" w:rsidR="000D2E02" w:rsidRPr="00334495" w:rsidRDefault="000D2E02" w:rsidP="000D2E02">
            <w:pPr>
              <w:pStyle w:val="TableParagraph"/>
              <w:kinsoku w:val="0"/>
              <w:overflowPunct w:val="0"/>
              <w:spacing w:line="276" w:lineRule="auto"/>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The organizational component carries out actions in support of the students' academic path.</w:t>
            </w:r>
          </w:p>
        </w:tc>
      </w:tr>
      <w:tr w:rsidR="000D2E02" w:rsidRPr="00334495" w14:paraId="47B9CCEE" w14:textId="77777777" w:rsidTr="00C65E7A">
        <w:tc>
          <w:tcPr>
            <w:tcW w:w="5000" w:type="pct"/>
          </w:tcPr>
          <w:p w14:paraId="0CAC4403" w14:textId="52046270"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I.P.B.7.2.1 </w:t>
            </w:r>
            <w:r w:rsidRPr="00334495">
              <w:rPr>
                <w:rFonts w:ascii="Arial Nova Light" w:hAnsi="Arial Nova Light" w:cs="Arial"/>
                <w:color w:val="333333"/>
                <w:sz w:val="22"/>
                <w:szCs w:val="22"/>
              </w:rPr>
              <w:t>The organizational component applies the regulations on the professional activity of students.</w:t>
            </w:r>
          </w:p>
        </w:tc>
      </w:tr>
      <w:tr w:rsidR="00496D16" w:rsidRPr="00334495" w14:paraId="63DB93CA" w14:textId="77777777" w:rsidTr="00C65E7A">
        <w:tc>
          <w:tcPr>
            <w:tcW w:w="5000" w:type="pct"/>
          </w:tcPr>
          <w:p w14:paraId="13E56EE2" w14:textId="01354A97" w:rsidR="00496D16" w:rsidRPr="00334495" w:rsidRDefault="00EC16AD" w:rsidP="00EC16AD">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s="Arial"/>
                <w:b/>
                <w:bCs/>
                <w:color w:val="007E39"/>
                <w:szCs w:val="22"/>
              </w:rPr>
              <w:t>Criterion B.8. The internationalization process</w:t>
            </w:r>
          </w:p>
        </w:tc>
      </w:tr>
      <w:tr w:rsidR="00EC16AD" w:rsidRPr="00334495" w14:paraId="6742313B" w14:textId="77777777" w:rsidTr="00C65E7A">
        <w:tc>
          <w:tcPr>
            <w:tcW w:w="5000" w:type="pct"/>
          </w:tcPr>
          <w:p w14:paraId="4B2B9C25" w14:textId="77777777" w:rsidR="00C43A7F" w:rsidRPr="00334495" w:rsidRDefault="00C43A7F" w:rsidP="00C43A7F">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S.B.8.1. </w:t>
            </w:r>
            <w:r w:rsidRPr="00334495">
              <w:rPr>
                <w:rFonts w:ascii="Arial Nova Light" w:hAnsi="Arial Nova Light" w:cs="Arial"/>
                <w:color w:val="007E39"/>
                <w:sz w:val="22"/>
                <w:szCs w:val="22"/>
                <w:u w:val="single"/>
              </w:rPr>
              <w:t xml:space="preserve">Internationalization </w:t>
            </w:r>
          </w:p>
          <w:p w14:paraId="00521026" w14:textId="63120D15" w:rsidR="00EC16AD" w:rsidRPr="00334495" w:rsidRDefault="00C43A7F" w:rsidP="00C43A7F">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color w:val="007E39"/>
                <w:sz w:val="22"/>
                <w:szCs w:val="22"/>
              </w:rPr>
              <w:t>Increasing the quality of education and research through internationalization actions.</w:t>
            </w:r>
          </w:p>
        </w:tc>
      </w:tr>
      <w:tr w:rsidR="00EC16AD" w:rsidRPr="00334495" w14:paraId="619F7742" w14:textId="77777777" w:rsidTr="00C65E7A">
        <w:tc>
          <w:tcPr>
            <w:tcW w:w="5000" w:type="pct"/>
          </w:tcPr>
          <w:p w14:paraId="4828D5D0" w14:textId="259D0F6D" w:rsidR="00EC16AD" w:rsidRPr="00334495" w:rsidRDefault="00F640F6" w:rsidP="00C36606">
            <w:pPr>
              <w:pStyle w:val="TableParagraph"/>
              <w:kinsoku w:val="0"/>
              <w:overflowPunct w:val="0"/>
              <w:spacing w:line="276" w:lineRule="auto"/>
              <w:ind w:left="708"/>
              <w:jc w:val="both"/>
              <w:rPr>
                <w:rFonts w:ascii="Arial Nova Light" w:hAnsi="Arial Nova Light" w:cs="Arial"/>
                <w:color w:val="007E39"/>
                <w:szCs w:val="22"/>
                <w:lang w:val="ro-RO"/>
              </w:rPr>
            </w:pPr>
            <w:r w:rsidRPr="00334495">
              <w:rPr>
                <w:rFonts w:ascii="Arial Nova Light" w:hAnsi="Arial Nova Light" w:cs="Arial"/>
                <w:color w:val="007E39"/>
                <w:sz w:val="22"/>
                <w:szCs w:val="20"/>
              </w:rPr>
              <w:t xml:space="preserve">Indicator I.P.B.8.1.1 </w:t>
            </w:r>
            <w:r w:rsidR="00EE5A0D" w:rsidRPr="00334495">
              <w:rPr>
                <w:rFonts w:ascii="Arial Nova Light" w:hAnsi="Arial Nova Light" w:cs="Arial"/>
                <w:color w:val="333333"/>
                <w:sz w:val="22"/>
                <w:szCs w:val="22"/>
              </w:rPr>
              <w:t>The organizational component carries out international cooperation actions through which the mobility of the members of its community and the collaboration in academic and research activity are supported.</w:t>
            </w:r>
          </w:p>
        </w:tc>
      </w:tr>
      <w:tr w:rsidR="00EC16AD" w:rsidRPr="00334495" w14:paraId="1D07EE37" w14:textId="77777777" w:rsidTr="00C65E7A">
        <w:tc>
          <w:tcPr>
            <w:tcW w:w="5000" w:type="pct"/>
          </w:tcPr>
          <w:p w14:paraId="0CCFDAC2" w14:textId="1A5BAFEC" w:rsidR="00EC16AD" w:rsidRPr="00334495" w:rsidRDefault="002C2736" w:rsidP="00EC16AD">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b/>
                <w:bCs/>
                <w:color w:val="007E39"/>
                <w:szCs w:val="22"/>
              </w:rPr>
              <w:t>Criterion B.9. Results of scientific research</w:t>
            </w:r>
          </w:p>
        </w:tc>
      </w:tr>
      <w:tr w:rsidR="00EC16AD" w:rsidRPr="00334495" w14:paraId="5A260BE4" w14:textId="77777777" w:rsidTr="00C65E7A">
        <w:tc>
          <w:tcPr>
            <w:tcW w:w="5000" w:type="pct"/>
          </w:tcPr>
          <w:p w14:paraId="63F7761D" w14:textId="77777777" w:rsidR="00700111" w:rsidRPr="00334495" w:rsidRDefault="00700111" w:rsidP="00700111">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S.B.9.1. </w:t>
            </w:r>
            <w:r w:rsidRPr="00334495">
              <w:rPr>
                <w:rFonts w:ascii="Arial Nova Light" w:hAnsi="Arial Nova Light" w:cs="Arial"/>
                <w:color w:val="007E39"/>
                <w:sz w:val="22"/>
                <w:szCs w:val="22"/>
                <w:u w:val="single"/>
              </w:rPr>
              <w:t xml:space="preserve">Scientific research in the education process </w:t>
            </w:r>
          </w:p>
          <w:p w14:paraId="7099DFA7" w14:textId="277B2C40" w:rsidR="00EC16AD" w:rsidRPr="00334495" w:rsidRDefault="00700111" w:rsidP="00700111">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color w:val="007E39"/>
                <w:sz w:val="22"/>
                <w:szCs w:val="22"/>
              </w:rPr>
              <w:t>Scientific research activities support students' acquisition of learning outcomes.</w:t>
            </w:r>
          </w:p>
        </w:tc>
      </w:tr>
      <w:tr w:rsidR="00B52B82" w:rsidRPr="00334495" w14:paraId="43C635B0" w14:textId="77777777" w:rsidTr="00C65E7A">
        <w:tc>
          <w:tcPr>
            <w:tcW w:w="5000" w:type="pct"/>
          </w:tcPr>
          <w:p w14:paraId="47EBFFEE" w14:textId="156587FD" w:rsidR="00B52B82" w:rsidRPr="00334495" w:rsidRDefault="004C4C2F" w:rsidP="00C36606">
            <w:pPr>
              <w:pStyle w:val="TableParagraph"/>
              <w:kinsoku w:val="0"/>
              <w:overflowPunct w:val="0"/>
              <w:spacing w:line="276" w:lineRule="auto"/>
              <w:ind w:left="708"/>
              <w:jc w:val="both"/>
              <w:rPr>
                <w:rFonts w:ascii="Arial Nova Light" w:hAnsi="Arial Nova Light" w:cs="Arial"/>
                <w:b/>
                <w:bCs/>
                <w:color w:val="007E39"/>
                <w:szCs w:val="22"/>
                <w:lang w:val="ro-RO"/>
              </w:rPr>
            </w:pPr>
            <w:r w:rsidRPr="00334495">
              <w:rPr>
                <w:rFonts w:ascii="Arial Nova Light" w:hAnsi="Arial Nova Light"/>
                <w:color w:val="007E39"/>
                <w:sz w:val="22"/>
                <w:szCs w:val="22"/>
              </w:rPr>
              <w:t xml:space="preserve">Indicator I.P.B.9.1.1 </w:t>
            </w:r>
            <w:r w:rsidR="00C10E1F" w:rsidRPr="00334495">
              <w:rPr>
                <w:rFonts w:ascii="Arial Nova Light" w:hAnsi="Arial Nova Light"/>
                <w:sz w:val="22"/>
                <w:szCs w:val="22"/>
              </w:rPr>
              <w:t>Learning based on scientific investigation and research results support and are capitalized in the acquisition of the learning outcomes targeted by the study program.</w:t>
            </w:r>
          </w:p>
        </w:tc>
      </w:tr>
      <w:tr w:rsidR="00E95955" w:rsidRPr="00334495" w14:paraId="0B21069F" w14:textId="77777777" w:rsidTr="00C65E7A">
        <w:tc>
          <w:tcPr>
            <w:tcW w:w="5000" w:type="pct"/>
          </w:tcPr>
          <w:p w14:paraId="001A9A70" w14:textId="77777777" w:rsidR="00043413" w:rsidRPr="00334495" w:rsidRDefault="00043413" w:rsidP="00043413">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Standard S.B.9.2. </w:t>
            </w:r>
            <w:r w:rsidRPr="00334495">
              <w:rPr>
                <w:rFonts w:ascii="Arial Nova Light" w:hAnsi="Arial Nova Light"/>
                <w:color w:val="007E39"/>
                <w:sz w:val="22"/>
                <w:szCs w:val="22"/>
                <w:u w:val="single"/>
              </w:rPr>
              <w:t xml:space="preserve">Scientific research related to the objectives of the study program </w:t>
            </w:r>
          </w:p>
          <w:p w14:paraId="1093A4AC" w14:textId="17A36A0C" w:rsidR="00E95955" w:rsidRPr="00334495" w:rsidRDefault="00043413" w:rsidP="00043413">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The organizational component carries out scientific research activities in accordance with the objectives of the evaluated study program.</w:t>
            </w:r>
          </w:p>
        </w:tc>
      </w:tr>
      <w:tr w:rsidR="00E95955" w:rsidRPr="00334495" w14:paraId="1409E247" w14:textId="77777777" w:rsidTr="00C65E7A">
        <w:tc>
          <w:tcPr>
            <w:tcW w:w="5000" w:type="pct"/>
          </w:tcPr>
          <w:p w14:paraId="3B7BB635" w14:textId="731EC202" w:rsidR="00E95955" w:rsidRPr="00334495" w:rsidRDefault="00FE6006" w:rsidP="00C36606">
            <w:pPr>
              <w:pStyle w:val="TableParagraph"/>
              <w:kinsoku w:val="0"/>
              <w:overflowPunct w:val="0"/>
              <w:spacing w:line="276" w:lineRule="auto"/>
              <w:ind w:left="708"/>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I.P.B.9.2.1 </w:t>
            </w:r>
            <w:r w:rsidR="00CE0C0A" w:rsidRPr="00334495">
              <w:rPr>
                <w:rFonts w:ascii="Arial Nova Light" w:hAnsi="Arial Nova Light"/>
                <w:sz w:val="22"/>
                <w:szCs w:val="22"/>
              </w:rPr>
              <w:t>The results of scientific research are visible at national and international level in the respective scientific field and adequately capitalized.</w:t>
            </w:r>
          </w:p>
        </w:tc>
      </w:tr>
      <w:tr w:rsidR="000D2E02" w:rsidRPr="00334495" w14:paraId="38B70CA9" w14:textId="77777777" w:rsidTr="00C65E7A">
        <w:tc>
          <w:tcPr>
            <w:tcW w:w="5000" w:type="pct"/>
            <w:shd w:val="clear" w:color="auto" w:fill="E2EFD9" w:themeFill="accent6" w:themeFillTint="33"/>
          </w:tcPr>
          <w:p w14:paraId="013DBE38" w14:textId="0DA72028" w:rsidR="000D2E02" w:rsidRPr="00334495" w:rsidRDefault="000D2E02" w:rsidP="000D2E02">
            <w:pPr>
              <w:pStyle w:val="BodyText"/>
              <w:tabs>
                <w:tab w:val="left" w:pos="601"/>
              </w:tabs>
              <w:kinsoku w:val="0"/>
              <w:overflowPunct w:val="0"/>
              <w:spacing w:before="120" w:after="120" w:line="276" w:lineRule="auto"/>
              <w:ind w:left="0"/>
              <w:jc w:val="center"/>
              <w:rPr>
                <w:rFonts w:ascii="Arial Nova Light" w:eastAsia="Times New Roman" w:hAnsi="Arial Nova Light"/>
                <w:b/>
                <w:bCs/>
                <w:color w:val="385623" w:themeColor="accent6" w:themeShade="80"/>
                <w:sz w:val="22"/>
                <w:szCs w:val="22"/>
                <w:lang w:val="ro-RO"/>
              </w:rPr>
            </w:pPr>
            <w:r w:rsidRPr="00334495">
              <w:rPr>
                <w:rFonts w:ascii="Arial Nova Light" w:eastAsia="Times New Roman" w:hAnsi="Arial Nova Light"/>
                <w:b/>
                <w:bCs/>
                <w:color w:val="385623" w:themeColor="accent6" w:themeShade="80"/>
                <w:sz w:val="22"/>
                <w:szCs w:val="22"/>
              </w:rPr>
              <w:t>FIELD C. Quality Management</w:t>
            </w:r>
          </w:p>
        </w:tc>
      </w:tr>
      <w:tr w:rsidR="000D2E02" w:rsidRPr="00334495" w14:paraId="46E89EB4" w14:textId="77777777" w:rsidTr="00C65E7A">
        <w:tc>
          <w:tcPr>
            <w:tcW w:w="5000" w:type="pct"/>
          </w:tcPr>
          <w:p w14:paraId="53A047A0" w14:textId="74ACB1F5" w:rsidR="000D2E02" w:rsidRPr="00334495" w:rsidRDefault="00816134" w:rsidP="000D2E02">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b/>
                <w:bCs/>
                <w:color w:val="007E39"/>
                <w:szCs w:val="22"/>
              </w:rPr>
              <w:t xml:space="preserve">Criterion C.1. Strategies and procedures for quality assurance, including in the field of university ethics and deontology, involving students, employers and other stakeholders and being applied </w:t>
            </w:r>
            <w:r w:rsidRPr="00334495">
              <w:rPr>
                <w:rFonts w:ascii="Arial Nova Light" w:hAnsi="Arial Nova Light" w:cs="Arial"/>
                <w:b/>
                <w:bCs/>
                <w:color w:val="007E39"/>
                <w:szCs w:val="22"/>
              </w:rPr>
              <w:lastRenderedPageBreak/>
              <w:t>consistently and transparently</w:t>
            </w:r>
          </w:p>
        </w:tc>
      </w:tr>
      <w:tr w:rsidR="00286F6D" w:rsidRPr="00334495" w14:paraId="50E8F6DC" w14:textId="77777777" w:rsidTr="00C65E7A">
        <w:tc>
          <w:tcPr>
            <w:tcW w:w="5000" w:type="pct"/>
          </w:tcPr>
          <w:p w14:paraId="22405387" w14:textId="77777777" w:rsidR="00352839" w:rsidRPr="00334495" w:rsidRDefault="00352839" w:rsidP="00352839">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lastRenderedPageBreak/>
              <w:t xml:space="preserve">Standard S.C.1.1. </w:t>
            </w:r>
            <w:r w:rsidRPr="00334495">
              <w:rPr>
                <w:rFonts w:ascii="Arial Nova Light" w:hAnsi="Arial Nova Light" w:cs="Arial"/>
                <w:color w:val="007E39"/>
                <w:sz w:val="22"/>
                <w:szCs w:val="22"/>
                <w:u w:val="single"/>
              </w:rPr>
              <w:t xml:space="preserve">Application </w:t>
            </w:r>
          </w:p>
          <w:p w14:paraId="14CE7EF3" w14:textId="18D1257B" w:rsidR="00286F6D" w:rsidRPr="00334495" w:rsidRDefault="00352839" w:rsidP="00352839">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color w:val="007E39"/>
                <w:sz w:val="22"/>
                <w:szCs w:val="22"/>
              </w:rPr>
              <w:t>Strategic directions, actions and procedures properly implemented</w:t>
            </w:r>
          </w:p>
        </w:tc>
      </w:tr>
      <w:tr w:rsidR="00286F6D" w:rsidRPr="00334495" w14:paraId="529091DE" w14:textId="77777777" w:rsidTr="00C65E7A">
        <w:tc>
          <w:tcPr>
            <w:tcW w:w="5000" w:type="pct"/>
          </w:tcPr>
          <w:p w14:paraId="5582EB47" w14:textId="7E05C367" w:rsidR="00A775BF" w:rsidRPr="00334495" w:rsidRDefault="00125489" w:rsidP="00C36606">
            <w:pPr>
              <w:pStyle w:val="TableParagraph"/>
              <w:kinsoku w:val="0"/>
              <w:overflowPunct w:val="0"/>
              <w:spacing w:line="276" w:lineRule="auto"/>
              <w:ind w:left="708"/>
              <w:jc w:val="both"/>
              <w:rPr>
                <w:rFonts w:ascii="Arial Nova Light" w:hAnsi="Arial Nova Light" w:cs="Arial"/>
                <w:color w:val="333333"/>
                <w:sz w:val="22"/>
                <w:szCs w:val="22"/>
                <w:lang w:val="ro-RO"/>
              </w:rPr>
            </w:pPr>
            <w:r w:rsidRPr="00334495">
              <w:rPr>
                <w:rFonts w:ascii="Arial Nova Light" w:hAnsi="Arial Nova Light" w:cs="Arial"/>
                <w:color w:val="007E39"/>
                <w:sz w:val="22"/>
                <w:szCs w:val="22"/>
              </w:rPr>
              <w:t xml:space="preserve">Indicator I.P.C.1.1.1 </w:t>
            </w:r>
            <w:r w:rsidR="00A775BF" w:rsidRPr="00334495">
              <w:rPr>
                <w:rFonts w:ascii="Arial Nova Light" w:hAnsi="Arial Nova Light" w:cs="Arial"/>
                <w:color w:val="333333"/>
                <w:sz w:val="22"/>
                <w:szCs w:val="22"/>
              </w:rPr>
              <w:t xml:space="preserve">The organizational component performs actions and applies procedures consistently, proving their impact in improving the quality of education at the level of the study program. </w:t>
            </w:r>
          </w:p>
          <w:p w14:paraId="17D146A9" w14:textId="1A88DD89" w:rsidR="00286F6D" w:rsidRPr="00334495" w:rsidRDefault="00A775BF" w:rsidP="00C36606">
            <w:pPr>
              <w:pStyle w:val="TableParagraph"/>
              <w:kinsoku w:val="0"/>
              <w:overflowPunct w:val="0"/>
              <w:spacing w:before="240" w:line="276" w:lineRule="auto"/>
              <w:ind w:left="708"/>
              <w:jc w:val="both"/>
              <w:rPr>
                <w:rFonts w:ascii="Arial Nova Light" w:hAnsi="Arial Nova Light" w:cs="Arial"/>
                <w:b/>
                <w:bCs/>
                <w:i/>
                <w:iCs/>
                <w:color w:val="007E39"/>
                <w:szCs w:val="22"/>
                <w:lang w:val="ro-RO"/>
              </w:rPr>
            </w:pPr>
            <w:r w:rsidRPr="00334495">
              <w:rPr>
                <w:rFonts w:ascii="Arial Nova Light" w:hAnsi="Arial Nova Light" w:cs="Arial"/>
                <w:i/>
                <w:iCs/>
                <w:color w:val="333333"/>
                <w:sz w:val="22"/>
                <w:szCs w:val="22"/>
              </w:rPr>
              <w:t>The study program is periodically evaluated, from the perspective of the following aspects: requirements and policies on the labor market, teaching-learning process, resources, results, management system.</w:t>
            </w:r>
          </w:p>
        </w:tc>
      </w:tr>
      <w:tr w:rsidR="008E76C1" w:rsidRPr="00334495" w14:paraId="664F4965" w14:textId="77777777" w:rsidTr="00C65E7A">
        <w:tc>
          <w:tcPr>
            <w:tcW w:w="5000" w:type="pct"/>
          </w:tcPr>
          <w:p w14:paraId="1C9EE449" w14:textId="77777777" w:rsidR="00E37CC1" w:rsidRPr="00334495" w:rsidRDefault="00E37CC1" w:rsidP="00E37CC1">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S.C.1.2. </w:t>
            </w:r>
            <w:r w:rsidRPr="00334495">
              <w:rPr>
                <w:rFonts w:ascii="Arial Nova Light" w:hAnsi="Arial Nova Light" w:cs="Arial"/>
                <w:color w:val="007E39"/>
                <w:sz w:val="22"/>
                <w:szCs w:val="22"/>
                <w:u w:val="single"/>
              </w:rPr>
              <w:t xml:space="preserve">Stakeholder involvement </w:t>
            </w:r>
          </w:p>
          <w:p w14:paraId="16697236" w14:textId="16A88F60" w:rsidR="008E76C1" w:rsidRPr="00334495" w:rsidRDefault="00E37CC1" w:rsidP="00E37CC1">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The HEI shall demonstrate that it involves stakeholders with relevant activity in the application of the procedures.</w:t>
            </w:r>
          </w:p>
        </w:tc>
      </w:tr>
      <w:tr w:rsidR="00E37CC1" w:rsidRPr="00334495" w14:paraId="1A65DAE4" w14:textId="77777777" w:rsidTr="00C65E7A">
        <w:tc>
          <w:tcPr>
            <w:tcW w:w="5000" w:type="pct"/>
          </w:tcPr>
          <w:p w14:paraId="638C5A02" w14:textId="3E265036" w:rsidR="00E37CC1" w:rsidRPr="00334495" w:rsidRDefault="00617F2F" w:rsidP="00C36606">
            <w:pPr>
              <w:pStyle w:val="TableParagraph"/>
              <w:kinsoku w:val="0"/>
              <w:overflowPunct w:val="0"/>
              <w:spacing w:line="276" w:lineRule="auto"/>
              <w:ind w:left="708"/>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Indicator I.P.C.1.2.1 </w:t>
            </w:r>
            <w:r w:rsidR="00317F38" w:rsidRPr="00334495">
              <w:rPr>
                <w:rFonts w:ascii="Arial Nova Light" w:hAnsi="Arial Nova Light" w:cs="Arial"/>
                <w:color w:val="333333"/>
                <w:sz w:val="22"/>
                <w:szCs w:val="22"/>
              </w:rPr>
              <w:t>The opinions of the members of one's own community and other interested parties are taken into account in the process of implementing the procedures.</w:t>
            </w:r>
          </w:p>
        </w:tc>
      </w:tr>
      <w:tr w:rsidR="00286F6D" w:rsidRPr="00334495" w14:paraId="63B3A3CE" w14:textId="77777777" w:rsidTr="00C65E7A">
        <w:tc>
          <w:tcPr>
            <w:tcW w:w="5000" w:type="pct"/>
          </w:tcPr>
          <w:p w14:paraId="7D69ECF0" w14:textId="24CDAFDC" w:rsidR="00286F6D" w:rsidRPr="00334495" w:rsidRDefault="00286F6D" w:rsidP="000D2E02">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b/>
                <w:bCs/>
                <w:color w:val="007E39"/>
                <w:szCs w:val="22"/>
              </w:rPr>
              <w:t>Criterion C.2. The functionality of the structures for ensuring the quality of education, including in the field of university ethics and deontology, according to the law</w:t>
            </w:r>
          </w:p>
        </w:tc>
      </w:tr>
      <w:tr w:rsidR="000D2E02" w:rsidRPr="00334495" w14:paraId="007F3D01" w14:textId="77777777" w:rsidTr="00C65E7A">
        <w:tc>
          <w:tcPr>
            <w:tcW w:w="5000" w:type="pct"/>
          </w:tcPr>
          <w:p w14:paraId="24978D52" w14:textId="77777777" w:rsidR="000D2E02" w:rsidRPr="00334495" w:rsidRDefault="000D2E02" w:rsidP="000D2E02">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S.C.2.1. </w:t>
            </w:r>
            <w:r w:rsidRPr="00334495">
              <w:rPr>
                <w:rFonts w:ascii="Arial Nova Light" w:hAnsi="Arial Nova Light" w:cs="Arial"/>
                <w:color w:val="007E39"/>
                <w:sz w:val="22"/>
                <w:szCs w:val="22"/>
                <w:u w:val="single"/>
              </w:rPr>
              <w:t>Structures</w:t>
            </w:r>
          </w:p>
          <w:p w14:paraId="4B01008F" w14:textId="6613B599" w:rsidR="000D2E02" w:rsidRPr="00334495" w:rsidRDefault="000D2E02" w:rsidP="000D2E02">
            <w:pPr>
              <w:pStyle w:val="TableParagraph"/>
              <w:kinsoku w:val="0"/>
              <w:overflowPunct w:val="0"/>
              <w:spacing w:line="276" w:lineRule="auto"/>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 xml:space="preserve">The HEI has organizational structures in the field of quality assurance, established under the law. </w:t>
            </w:r>
          </w:p>
        </w:tc>
      </w:tr>
      <w:tr w:rsidR="000D2E02" w:rsidRPr="00334495" w14:paraId="41A9F190" w14:textId="77777777" w:rsidTr="00C65E7A">
        <w:tc>
          <w:tcPr>
            <w:tcW w:w="5000" w:type="pct"/>
          </w:tcPr>
          <w:p w14:paraId="432A1D11" w14:textId="5A191899"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z w:val="22"/>
                <w:szCs w:val="22"/>
                <w:lang w:val="ro-RO"/>
              </w:rPr>
            </w:pPr>
            <w:r w:rsidRPr="00334495">
              <w:rPr>
                <w:rFonts w:ascii="Arial Nova Light" w:hAnsi="Arial Nova Light"/>
                <w:color w:val="007E39"/>
                <w:sz w:val="22"/>
                <w:szCs w:val="22"/>
              </w:rPr>
              <w:t xml:space="preserve">Indicator I.P.C.2.1.1 </w:t>
            </w:r>
            <w:r w:rsidRPr="00334495">
              <w:rPr>
                <w:rFonts w:ascii="Arial Nova Light" w:hAnsi="Arial Nova Light" w:cs="Arial"/>
                <w:color w:val="333333"/>
                <w:sz w:val="22"/>
                <w:szCs w:val="22"/>
              </w:rPr>
              <w:t>In the organizational structure of the HEI, the CEAC is constituted. Such structures may also exist at the level of the organizational component.</w:t>
            </w:r>
          </w:p>
        </w:tc>
      </w:tr>
      <w:tr w:rsidR="007E6260" w:rsidRPr="00334495" w14:paraId="3E893920" w14:textId="77777777" w:rsidTr="00C65E7A">
        <w:tc>
          <w:tcPr>
            <w:tcW w:w="5000" w:type="pct"/>
          </w:tcPr>
          <w:p w14:paraId="645A697C" w14:textId="77777777" w:rsidR="00021BB8" w:rsidRPr="00334495" w:rsidRDefault="00021BB8" w:rsidP="00021BB8">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Standard S.C.2.2. </w:t>
            </w:r>
            <w:r w:rsidRPr="00334495">
              <w:rPr>
                <w:rFonts w:ascii="Arial Nova Light" w:hAnsi="Arial Nova Light"/>
                <w:color w:val="007E39"/>
                <w:sz w:val="22"/>
                <w:szCs w:val="22"/>
                <w:u w:val="single"/>
              </w:rPr>
              <w:t xml:space="preserve">Operation </w:t>
            </w:r>
          </w:p>
          <w:p w14:paraId="2EE5BCD0" w14:textId="7B8DAA70" w:rsidR="007E6260" w:rsidRPr="00334495" w:rsidRDefault="00021BB8" w:rsidP="00021BB8">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The organizational structures in the field of quality assurance and that of university ethics and deontology perform their specific role and functions adequately.</w:t>
            </w:r>
          </w:p>
        </w:tc>
      </w:tr>
      <w:tr w:rsidR="007E6260" w:rsidRPr="00334495" w14:paraId="45F88562" w14:textId="77777777" w:rsidTr="00C65E7A">
        <w:tc>
          <w:tcPr>
            <w:tcW w:w="5000" w:type="pct"/>
          </w:tcPr>
          <w:p w14:paraId="1EE157F8" w14:textId="3D830381" w:rsidR="007E6260" w:rsidRPr="00334495" w:rsidRDefault="005230C1" w:rsidP="000D2E02">
            <w:pPr>
              <w:pStyle w:val="TableParagraph"/>
              <w:kinsoku w:val="0"/>
              <w:overflowPunct w:val="0"/>
              <w:spacing w:line="276" w:lineRule="auto"/>
              <w:ind w:left="708"/>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The I.P.C.2.2.1 CEAC indicator </w:t>
            </w:r>
            <w:r w:rsidR="00293123" w:rsidRPr="00334495">
              <w:rPr>
                <w:rFonts w:ascii="Arial Nova Light" w:hAnsi="Arial Nova Light"/>
                <w:sz w:val="22"/>
                <w:szCs w:val="22"/>
              </w:rPr>
              <w:t>and the structures established, as the case may be, at the level of the organizational component operate on the basis of the regulation approved by the university senate, in order to carry out the activities of internal assurance and evaluation, as well as external evaluation of the quality of education.</w:t>
            </w:r>
          </w:p>
        </w:tc>
      </w:tr>
      <w:tr w:rsidR="002A2DFB" w:rsidRPr="00334495" w14:paraId="1866BFFC" w14:textId="77777777" w:rsidTr="00C65E7A">
        <w:tc>
          <w:tcPr>
            <w:tcW w:w="5000" w:type="pct"/>
          </w:tcPr>
          <w:p w14:paraId="4217716A" w14:textId="38239F58" w:rsidR="002A2DFB" w:rsidRPr="00334495" w:rsidRDefault="0095566C" w:rsidP="000D2E02">
            <w:pPr>
              <w:pStyle w:val="TableParagraph"/>
              <w:kinsoku w:val="0"/>
              <w:overflowPunct w:val="0"/>
              <w:spacing w:line="276" w:lineRule="auto"/>
              <w:ind w:left="708"/>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I.P.C.2.2.2 </w:t>
            </w:r>
            <w:r w:rsidR="008A5052" w:rsidRPr="00334495">
              <w:rPr>
                <w:rFonts w:ascii="Arial Nova Light" w:hAnsi="Arial Nova Light"/>
                <w:sz w:val="22"/>
                <w:szCs w:val="22"/>
              </w:rPr>
              <w:t xml:space="preserve"> The University Ethics Commission operates on the basis of the regulation approved by the university senate and acts independently of any other structure or person within the higher education institution, in compliance with the law.</w:t>
            </w:r>
          </w:p>
        </w:tc>
      </w:tr>
      <w:tr w:rsidR="000D2E02" w:rsidRPr="00334495" w14:paraId="626C9007" w14:textId="77777777" w:rsidTr="00C65E7A">
        <w:tc>
          <w:tcPr>
            <w:tcW w:w="5000" w:type="pct"/>
          </w:tcPr>
          <w:p w14:paraId="6D6F5068" w14:textId="3BE8010F" w:rsidR="000D2E02" w:rsidRPr="00334495" w:rsidRDefault="000D2E02" w:rsidP="000D2E02">
            <w:pPr>
              <w:pStyle w:val="TableParagraph"/>
              <w:kinsoku w:val="0"/>
              <w:overflowPunct w:val="0"/>
              <w:jc w:val="both"/>
              <w:rPr>
                <w:rFonts w:ascii="Arial Nova Light" w:hAnsi="Arial Nova Light" w:cs="Arial"/>
                <w:b/>
                <w:bCs/>
                <w:color w:val="007E39"/>
                <w:szCs w:val="22"/>
                <w:lang w:val="ro-RO"/>
              </w:rPr>
            </w:pPr>
            <w:r w:rsidRPr="00334495">
              <w:rPr>
                <w:rFonts w:ascii="Arial Nova Light" w:hAnsi="Arial Nova Light" w:cs="Arial"/>
                <w:b/>
                <w:bCs/>
                <w:color w:val="007E39"/>
                <w:szCs w:val="22"/>
              </w:rPr>
              <w:t>Criterion C.3. Procedures for initiating, monitoring and periodically reviewing curricula and fields of study and activities involving students, employers and other stakeholders</w:t>
            </w:r>
          </w:p>
        </w:tc>
      </w:tr>
      <w:tr w:rsidR="000D2E02" w:rsidRPr="00334495" w14:paraId="033E91EC" w14:textId="77777777" w:rsidTr="00C65E7A">
        <w:tc>
          <w:tcPr>
            <w:tcW w:w="5000" w:type="pct"/>
          </w:tcPr>
          <w:p w14:paraId="225ED929" w14:textId="77777777" w:rsidR="000D2E02" w:rsidRPr="00334495" w:rsidRDefault="000D2E02" w:rsidP="000D2E02">
            <w:pPr>
              <w:pStyle w:val="TableParagraph"/>
              <w:kinsoku w:val="0"/>
              <w:overflowPunct w:val="0"/>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S.C.3.1. </w:t>
            </w:r>
            <w:r w:rsidRPr="00334495">
              <w:rPr>
                <w:rFonts w:ascii="Arial Nova Light" w:hAnsi="Arial Nova Light" w:cs="Arial"/>
                <w:color w:val="007E39"/>
                <w:sz w:val="22"/>
                <w:szCs w:val="22"/>
                <w:u w:val="single"/>
              </w:rPr>
              <w:t>Procedures and their application</w:t>
            </w:r>
          </w:p>
          <w:p w14:paraId="39581586" w14:textId="4CE8B133" w:rsidR="000D2E02" w:rsidRPr="00334495" w:rsidRDefault="000D2E02" w:rsidP="000D2E02">
            <w:pPr>
              <w:pStyle w:val="TableParagraph"/>
              <w:kinsoku w:val="0"/>
              <w:overflowPunct w:val="0"/>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The HEI has procedures for initiating, monitoring and periodically reviewing the programs and fields of study and the activities carried out and applies them systematically.</w:t>
            </w:r>
          </w:p>
        </w:tc>
      </w:tr>
      <w:tr w:rsidR="000D2E02" w:rsidRPr="00334495" w14:paraId="52F2DF20" w14:textId="77777777" w:rsidTr="00C65E7A">
        <w:tc>
          <w:tcPr>
            <w:tcW w:w="5000" w:type="pct"/>
          </w:tcPr>
          <w:p w14:paraId="35838533" w14:textId="77777777"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z w:val="22"/>
                <w:szCs w:val="22"/>
                <w:lang w:val="ro-RO"/>
              </w:rPr>
            </w:pPr>
            <w:r w:rsidRPr="00334495">
              <w:rPr>
                <w:rFonts w:ascii="Arial Nova Light" w:hAnsi="Arial Nova Light" w:cs="Arial"/>
                <w:color w:val="007E39"/>
                <w:sz w:val="22"/>
                <w:szCs w:val="22"/>
              </w:rPr>
              <w:t xml:space="preserve">Indicator I.P.C.3.1.1 </w:t>
            </w:r>
            <w:r w:rsidRPr="00334495">
              <w:rPr>
                <w:rFonts w:ascii="Arial Nova Light" w:hAnsi="Arial Nova Light" w:cs="Arial"/>
                <w:color w:val="333333"/>
                <w:sz w:val="22"/>
                <w:szCs w:val="22"/>
              </w:rPr>
              <w:t>The organizational component consistently applies the procedures, proving their impact on quality assurance.</w:t>
            </w:r>
          </w:p>
          <w:p w14:paraId="5281B42B" w14:textId="77777777" w:rsidR="00651F41" w:rsidRPr="00334495" w:rsidRDefault="00651F41" w:rsidP="000D2E0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p>
          <w:p w14:paraId="73D87AFB" w14:textId="76147A7B" w:rsidR="00651F41" w:rsidRPr="00334495" w:rsidRDefault="00651F41" w:rsidP="000D2E02">
            <w:pPr>
              <w:pStyle w:val="TableParagraph"/>
              <w:kinsoku w:val="0"/>
              <w:overflowPunct w:val="0"/>
              <w:spacing w:line="276" w:lineRule="auto"/>
              <w:ind w:left="708"/>
              <w:jc w:val="both"/>
              <w:rPr>
                <w:rFonts w:ascii="Arial Nova Light" w:hAnsi="Arial Nova Light" w:cs="Arial"/>
                <w:i/>
                <w:iCs/>
                <w:color w:val="70AD47" w:themeColor="accent6"/>
                <w:sz w:val="22"/>
                <w:szCs w:val="22"/>
                <w:lang w:val="ro-RO"/>
              </w:rPr>
            </w:pPr>
            <w:r w:rsidRPr="00334495">
              <w:rPr>
                <w:rFonts w:ascii="Arial Nova Light" w:hAnsi="Arial Nova Light" w:cs="Arial"/>
                <w:i/>
                <w:iCs/>
                <w:sz w:val="22"/>
                <w:szCs w:val="22"/>
              </w:rPr>
              <w:t>The process of periodic evaluation of the study program takes into account: (i) the interest in the study program and the satisfaction regarding the preparation of students/graduates on the part of the labor market representatives; (ii) interest in the study program and satisfaction regarding the students' preparation on the part of the internship partners; (iii) the results of the monitoring of students' opinion regarding the teaching process.</w:t>
            </w:r>
          </w:p>
        </w:tc>
      </w:tr>
      <w:tr w:rsidR="000D2E02" w:rsidRPr="00334495" w14:paraId="07801EA1" w14:textId="77777777" w:rsidTr="00C65E7A">
        <w:tc>
          <w:tcPr>
            <w:tcW w:w="5000" w:type="pct"/>
          </w:tcPr>
          <w:p w14:paraId="1F3E4A1F" w14:textId="77777777" w:rsidR="000D2E02" w:rsidRPr="00334495" w:rsidRDefault="000D2E02" w:rsidP="000D2E02">
            <w:pPr>
              <w:pStyle w:val="TableParagraph"/>
              <w:kinsoku w:val="0"/>
              <w:overflowPunct w:val="0"/>
              <w:spacing w:line="276" w:lineRule="auto"/>
              <w:ind w:left="708"/>
              <w:jc w:val="both"/>
              <w:rPr>
                <w:rFonts w:ascii="Arial Nova Light" w:hAnsi="Arial Nova Light" w:cs="Arial"/>
                <w:color w:val="333333"/>
                <w:spacing w:val="-1"/>
                <w:sz w:val="22"/>
                <w:szCs w:val="22"/>
                <w:lang w:val="ro-RO"/>
              </w:rPr>
            </w:pPr>
            <w:r w:rsidRPr="00334495">
              <w:rPr>
                <w:rFonts w:ascii="Arial Nova Light" w:hAnsi="Arial Nova Light" w:cs="Arial"/>
                <w:color w:val="007E39"/>
                <w:sz w:val="22"/>
                <w:szCs w:val="22"/>
              </w:rPr>
              <w:t xml:space="preserve">Indicator I.P.C.3.1.2 </w:t>
            </w:r>
            <w:r w:rsidRPr="00334495">
              <w:rPr>
                <w:rFonts w:ascii="Arial Nova Light" w:hAnsi="Arial Nova Light" w:cs="Arial"/>
                <w:color w:val="333333"/>
                <w:sz w:val="22"/>
                <w:szCs w:val="22"/>
              </w:rPr>
              <w:t xml:space="preserve">Members of their own community and other stakeholders are involved in the </w:t>
            </w:r>
            <w:r w:rsidRPr="00334495">
              <w:rPr>
                <w:rFonts w:ascii="Arial Nova Light" w:hAnsi="Arial Nova Light" w:cs="Arial"/>
                <w:color w:val="333333"/>
                <w:sz w:val="22"/>
                <w:szCs w:val="22"/>
              </w:rPr>
              <w:lastRenderedPageBreak/>
              <w:t>process of implementing the procedures.</w:t>
            </w:r>
          </w:p>
          <w:p w14:paraId="28A61BAA" w14:textId="24A0D634" w:rsidR="004F1501" w:rsidRPr="00334495" w:rsidRDefault="004F1501" w:rsidP="004F1501">
            <w:pPr>
              <w:pStyle w:val="TableParagraph"/>
              <w:kinsoku w:val="0"/>
              <w:overflowPunct w:val="0"/>
              <w:spacing w:before="240" w:line="276" w:lineRule="auto"/>
              <w:ind w:left="708"/>
              <w:jc w:val="both"/>
              <w:rPr>
                <w:rFonts w:ascii="Arial Nova Light" w:hAnsi="Arial Nova Light" w:cs="Arial"/>
                <w:i/>
                <w:iCs/>
                <w:color w:val="00B050"/>
                <w:sz w:val="22"/>
                <w:szCs w:val="22"/>
                <w:lang w:val="ro-RO"/>
              </w:rPr>
            </w:pPr>
            <w:r w:rsidRPr="00334495">
              <w:rPr>
                <w:rFonts w:ascii="Arial Nova Light" w:hAnsi="Arial Nova Light" w:cs="Arial"/>
                <w:i/>
                <w:iCs/>
                <w:sz w:val="22"/>
                <w:szCs w:val="22"/>
              </w:rPr>
              <w:t>The implementation of the procedures benefits from the employers' input, helping to ensure their satisfaction.</w:t>
            </w:r>
          </w:p>
        </w:tc>
      </w:tr>
      <w:tr w:rsidR="000D2E02" w:rsidRPr="00334495" w14:paraId="5495BC90" w14:textId="77777777" w:rsidTr="00C65E7A">
        <w:tc>
          <w:tcPr>
            <w:tcW w:w="5000" w:type="pct"/>
          </w:tcPr>
          <w:p w14:paraId="104C278B" w14:textId="003F8845" w:rsidR="000D2E02" w:rsidRPr="00334495" w:rsidRDefault="000D2E02" w:rsidP="000D2E02">
            <w:pPr>
              <w:pStyle w:val="TableParagraph"/>
              <w:kinsoku w:val="0"/>
              <w:overflowPunct w:val="0"/>
              <w:spacing w:line="276" w:lineRule="auto"/>
              <w:jc w:val="both"/>
              <w:rPr>
                <w:rFonts w:ascii="Arial Nova Light" w:hAnsi="Arial Nova Light" w:cs="Arial"/>
                <w:b/>
                <w:bCs/>
                <w:color w:val="007E39"/>
                <w:spacing w:val="-1"/>
                <w:szCs w:val="22"/>
                <w:lang w:val="ro-RO"/>
              </w:rPr>
            </w:pPr>
            <w:r w:rsidRPr="00334495">
              <w:rPr>
                <w:rFonts w:ascii="Arial Nova Light" w:hAnsi="Arial Nova Light" w:cs="Arial"/>
                <w:b/>
                <w:bCs/>
                <w:color w:val="007E39"/>
                <w:szCs w:val="22"/>
              </w:rPr>
              <w:lastRenderedPageBreak/>
              <w:t>Criterion C.4. Procedures for periodic evaluation of the quality of the activities of the teaching, auxiliary and administrative staff</w:t>
            </w:r>
          </w:p>
        </w:tc>
      </w:tr>
      <w:tr w:rsidR="000D2E02" w:rsidRPr="00334495" w14:paraId="05A71923" w14:textId="77777777" w:rsidTr="00C65E7A">
        <w:tc>
          <w:tcPr>
            <w:tcW w:w="5000" w:type="pct"/>
          </w:tcPr>
          <w:p w14:paraId="06A2AA77" w14:textId="77777777" w:rsidR="000D2E02" w:rsidRPr="00334495" w:rsidRDefault="000D2E02" w:rsidP="000D2E02">
            <w:pPr>
              <w:pStyle w:val="TableParagraph"/>
              <w:kinsoku w:val="0"/>
              <w:overflowPunct w:val="0"/>
              <w:spacing w:line="276" w:lineRule="auto"/>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S.C.4.1. </w:t>
            </w:r>
            <w:r w:rsidRPr="00334495">
              <w:rPr>
                <w:rFonts w:ascii="Arial Nova Light" w:hAnsi="Arial Nova Light" w:cs="Arial"/>
                <w:color w:val="007E39"/>
                <w:sz w:val="22"/>
                <w:szCs w:val="22"/>
                <w:u w:val="single"/>
              </w:rPr>
              <w:t>Procedures</w:t>
            </w:r>
          </w:p>
          <w:p w14:paraId="556B04E1" w14:textId="08437E0B" w:rsidR="000D2E02" w:rsidRPr="00334495" w:rsidRDefault="000D2E02" w:rsidP="000D2E02">
            <w:pPr>
              <w:pStyle w:val="TableParagraph"/>
              <w:kinsoku w:val="0"/>
              <w:overflowPunct w:val="0"/>
              <w:spacing w:line="276" w:lineRule="auto"/>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 xml:space="preserve">The application of methodologies and procedures contributes to improving the quality of staff activities. </w:t>
            </w:r>
          </w:p>
        </w:tc>
      </w:tr>
      <w:tr w:rsidR="000D2E02" w:rsidRPr="00334495" w14:paraId="7545D04C" w14:textId="77777777" w:rsidTr="00C65E7A">
        <w:tc>
          <w:tcPr>
            <w:tcW w:w="5000" w:type="pct"/>
          </w:tcPr>
          <w:p w14:paraId="7472DAEE" w14:textId="5885100C" w:rsidR="000D2E02" w:rsidRPr="00334495" w:rsidRDefault="000D2E02" w:rsidP="000D2E0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r w:rsidRPr="00334495">
              <w:rPr>
                <w:rFonts w:ascii="Arial Nova Light" w:hAnsi="Arial Nova Light"/>
                <w:color w:val="007E39"/>
                <w:sz w:val="22"/>
                <w:szCs w:val="22"/>
              </w:rPr>
              <w:t xml:space="preserve">Indicator </w:t>
            </w:r>
            <w:r w:rsidRPr="00334495">
              <w:rPr>
                <w:rFonts w:ascii="Arial Nova Light" w:hAnsi="Arial Nova Light" w:cs="Arial"/>
                <w:color w:val="007E39"/>
                <w:sz w:val="22"/>
                <w:szCs w:val="22"/>
              </w:rPr>
              <w:t xml:space="preserve">I.P.C.4.1.1 </w:t>
            </w:r>
            <w:r w:rsidRPr="00334495">
              <w:rPr>
                <w:rFonts w:ascii="Arial Nova Light" w:hAnsi="Arial Nova Light" w:cs="Arial"/>
                <w:color w:val="333333"/>
                <w:sz w:val="22"/>
                <w:szCs w:val="22"/>
              </w:rPr>
              <w:t>The organizational component analyzes the results of the semester evaluation process by students of the teachers' performance.</w:t>
            </w:r>
          </w:p>
        </w:tc>
      </w:tr>
      <w:tr w:rsidR="00A8624F" w:rsidRPr="00334495" w14:paraId="5970F263" w14:textId="77777777" w:rsidTr="00C65E7A">
        <w:tc>
          <w:tcPr>
            <w:tcW w:w="5000" w:type="pct"/>
          </w:tcPr>
          <w:p w14:paraId="50C96693" w14:textId="24F86C4E" w:rsidR="00A8624F" w:rsidRPr="00334495" w:rsidRDefault="00725202" w:rsidP="00725202">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s="Arial"/>
                <w:b/>
                <w:bCs/>
                <w:color w:val="007E39"/>
                <w:szCs w:val="22"/>
              </w:rPr>
              <w:t>Criterion C.5. Systematically updated databases on internal quality assurance</w:t>
            </w:r>
          </w:p>
        </w:tc>
      </w:tr>
      <w:tr w:rsidR="00A8624F" w:rsidRPr="00334495" w14:paraId="5C35C597" w14:textId="77777777" w:rsidTr="00C65E7A">
        <w:tc>
          <w:tcPr>
            <w:tcW w:w="5000" w:type="pct"/>
          </w:tcPr>
          <w:p w14:paraId="1B6F1DDB" w14:textId="77777777" w:rsidR="00F7518D" w:rsidRPr="00334495" w:rsidRDefault="00F7518D" w:rsidP="00F7518D">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Standard S.C.5.1. </w:t>
            </w:r>
            <w:r w:rsidRPr="00334495">
              <w:rPr>
                <w:rFonts w:ascii="Arial Nova Light" w:hAnsi="Arial Nova Light"/>
                <w:color w:val="007E39"/>
                <w:sz w:val="22"/>
                <w:szCs w:val="22"/>
                <w:u w:val="single"/>
              </w:rPr>
              <w:t xml:space="preserve">Databases </w:t>
            </w:r>
          </w:p>
          <w:p w14:paraId="491F98CD" w14:textId="10D90BF1" w:rsidR="00A8624F" w:rsidRPr="00334495" w:rsidRDefault="00F7518D" w:rsidP="00F7518D">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The HEI uses databases to support internal quality assurance activities.</w:t>
            </w:r>
          </w:p>
        </w:tc>
      </w:tr>
      <w:tr w:rsidR="00F7518D" w:rsidRPr="00334495" w14:paraId="32D1A7D9" w14:textId="77777777" w:rsidTr="00C65E7A">
        <w:tc>
          <w:tcPr>
            <w:tcW w:w="5000" w:type="pct"/>
          </w:tcPr>
          <w:p w14:paraId="1A39B496" w14:textId="5EE002F4" w:rsidR="00F7518D" w:rsidRPr="00334495" w:rsidRDefault="00BD2DB9" w:rsidP="00C36606">
            <w:pPr>
              <w:pStyle w:val="TableParagraph"/>
              <w:kinsoku w:val="0"/>
              <w:overflowPunct w:val="0"/>
              <w:spacing w:line="276" w:lineRule="auto"/>
              <w:ind w:left="708"/>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I.P.C.5.1.1 </w:t>
            </w:r>
            <w:r w:rsidR="00FE1291" w:rsidRPr="00334495">
              <w:rPr>
                <w:rFonts w:ascii="Arial Nova Light" w:hAnsi="Arial Nova Light"/>
                <w:sz w:val="22"/>
                <w:szCs w:val="22"/>
              </w:rPr>
              <w:t>The organizational component systematically collects and analyzes data necessary for the internal quality assurance process.</w:t>
            </w:r>
          </w:p>
        </w:tc>
      </w:tr>
      <w:tr w:rsidR="00B133D8" w:rsidRPr="00334495" w14:paraId="61D0FF3A" w14:textId="77777777" w:rsidTr="00C65E7A">
        <w:tc>
          <w:tcPr>
            <w:tcW w:w="5000" w:type="pct"/>
          </w:tcPr>
          <w:p w14:paraId="05712CD1" w14:textId="7CF61B00" w:rsidR="00B133D8" w:rsidRPr="00334495" w:rsidRDefault="001174D9" w:rsidP="00F7518D">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s="Arial"/>
                <w:b/>
                <w:bCs/>
                <w:color w:val="007E39"/>
                <w:szCs w:val="22"/>
              </w:rPr>
              <w:t>Criterion C.6. Transparency of information of public interest, including information on the programmes and fields of study offered, as well as on the related certificates, diplomas and qualifications</w:t>
            </w:r>
          </w:p>
        </w:tc>
      </w:tr>
      <w:tr w:rsidR="001174D9" w:rsidRPr="00334495" w14:paraId="425F89AF" w14:textId="77777777" w:rsidTr="00C65E7A">
        <w:tc>
          <w:tcPr>
            <w:tcW w:w="5000" w:type="pct"/>
          </w:tcPr>
          <w:p w14:paraId="76319801" w14:textId="77777777" w:rsidR="00564F95" w:rsidRPr="00334495" w:rsidRDefault="00564F95" w:rsidP="00564F95">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Standard S.C.6.1. </w:t>
            </w:r>
            <w:r w:rsidRPr="00334495">
              <w:rPr>
                <w:rFonts w:ascii="Arial Nova Light" w:hAnsi="Arial Nova Light"/>
                <w:color w:val="007E39"/>
                <w:sz w:val="22"/>
                <w:szCs w:val="22"/>
                <w:u w:val="single"/>
              </w:rPr>
              <w:t xml:space="preserve">Transparency </w:t>
            </w:r>
          </w:p>
          <w:p w14:paraId="6E90C196" w14:textId="67A1447D" w:rsidR="001174D9" w:rsidRPr="00334495" w:rsidRDefault="00564F95" w:rsidP="00564F95">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olor w:val="007E39"/>
                <w:sz w:val="22"/>
                <w:szCs w:val="22"/>
              </w:rPr>
              <w:t>The organizational component ensures the transparency of information, according to the law.</w:t>
            </w:r>
          </w:p>
        </w:tc>
      </w:tr>
      <w:tr w:rsidR="00564F95" w:rsidRPr="00334495" w14:paraId="2DCCC26B" w14:textId="77777777" w:rsidTr="00C65E7A">
        <w:tc>
          <w:tcPr>
            <w:tcW w:w="5000" w:type="pct"/>
          </w:tcPr>
          <w:p w14:paraId="45998694" w14:textId="52DE3497" w:rsidR="00564F95" w:rsidRPr="00334495" w:rsidRDefault="00164493" w:rsidP="00C36606">
            <w:pPr>
              <w:pStyle w:val="TableParagraph"/>
              <w:kinsoku w:val="0"/>
              <w:overflowPunct w:val="0"/>
              <w:spacing w:line="276" w:lineRule="auto"/>
              <w:ind w:left="708"/>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Indicator I.P.C.6.1.1 </w:t>
            </w:r>
            <w:r w:rsidR="007235E3" w:rsidRPr="00334495">
              <w:rPr>
                <w:rFonts w:ascii="Arial Nova Light" w:hAnsi="Arial Nova Light"/>
                <w:sz w:val="22"/>
                <w:szCs w:val="22"/>
              </w:rPr>
              <w:t>The organizational component ensures the publication and access to information of public interest regarding the evaluated study program.</w:t>
            </w:r>
          </w:p>
        </w:tc>
      </w:tr>
      <w:tr w:rsidR="00B463D9" w:rsidRPr="00334495" w14:paraId="3B101D2F" w14:textId="77777777" w:rsidTr="00C65E7A">
        <w:tc>
          <w:tcPr>
            <w:tcW w:w="5000" w:type="pct"/>
          </w:tcPr>
          <w:p w14:paraId="162F9913" w14:textId="79E8A918" w:rsidR="00B463D9" w:rsidRPr="00334495" w:rsidRDefault="00C165C6" w:rsidP="00564F95">
            <w:pPr>
              <w:pStyle w:val="TableParagraph"/>
              <w:kinsoku w:val="0"/>
              <w:overflowPunct w:val="0"/>
              <w:spacing w:line="276" w:lineRule="auto"/>
              <w:jc w:val="both"/>
              <w:rPr>
                <w:rFonts w:ascii="Arial Nova Light" w:hAnsi="Arial Nova Light"/>
                <w:color w:val="007E39"/>
                <w:sz w:val="22"/>
                <w:szCs w:val="22"/>
                <w:lang w:val="ro-RO"/>
              </w:rPr>
            </w:pPr>
            <w:r w:rsidRPr="00334495">
              <w:rPr>
                <w:rFonts w:ascii="Arial Nova Light" w:hAnsi="Arial Nova Light"/>
                <w:color w:val="007E39"/>
                <w:sz w:val="22"/>
                <w:szCs w:val="22"/>
              </w:rPr>
              <w:t xml:space="preserve">            Indicator I.P.C.6.1.2 </w:t>
            </w:r>
            <w:r w:rsidRPr="00334495">
              <w:rPr>
                <w:rFonts w:ascii="Arial Nova Light" w:hAnsi="Arial Nova Light"/>
                <w:sz w:val="22"/>
                <w:szCs w:val="22"/>
              </w:rPr>
              <w:t>The organizational component ensures the transparency of decision-making processes.</w:t>
            </w:r>
          </w:p>
        </w:tc>
      </w:tr>
      <w:tr w:rsidR="00C767ED" w:rsidRPr="00334495" w14:paraId="47ACB6DC" w14:textId="77777777" w:rsidTr="00C65E7A">
        <w:trPr>
          <w:trHeight w:val="325"/>
        </w:trPr>
        <w:tc>
          <w:tcPr>
            <w:tcW w:w="5000" w:type="pct"/>
          </w:tcPr>
          <w:p w14:paraId="61AD1287" w14:textId="239741DD" w:rsidR="00C767ED" w:rsidRPr="00334495" w:rsidRDefault="00C767ED" w:rsidP="000D2E02">
            <w:pPr>
              <w:pStyle w:val="TableParagraph"/>
              <w:kinsoku w:val="0"/>
              <w:overflowPunct w:val="0"/>
              <w:spacing w:line="276" w:lineRule="auto"/>
              <w:jc w:val="both"/>
              <w:rPr>
                <w:rFonts w:ascii="Arial Nova Light" w:hAnsi="Arial Nova Light" w:cs="Arial"/>
                <w:b/>
                <w:bCs/>
                <w:color w:val="007E39"/>
                <w:szCs w:val="22"/>
                <w:lang w:val="ro-RO"/>
              </w:rPr>
            </w:pPr>
            <w:r w:rsidRPr="00334495">
              <w:rPr>
                <w:rFonts w:ascii="Arial Nova Light" w:hAnsi="Arial Nova Light" w:cs="Arial"/>
                <w:b/>
                <w:bCs/>
                <w:color w:val="007E39"/>
                <w:szCs w:val="22"/>
              </w:rPr>
              <w:t>Criterion C.7. Compliance with the deadlines and reporting standards provided by the legislation in force</w:t>
            </w:r>
          </w:p>
        </w:tc>
      </w:tr>
      <w:tr w:rsidR="00C767ED" w:rsidRPr="00334495" w14:paraId="6D1855E1" w14:textId="77777777" w:rsidTr="00C65E7A">
        <w:trPr>
          <w:trHeight w:val="325"/>
        </w:trPr>
        <w:tc>
          <w:tcPr>
            <w:tcW w:w="5000" w:type="pct"/>
          </w:tcPr>
          <w:p w14:paraId="20918E5C" w14:textId="77777777" w:rsidR="00C75C2C" w:rsidRPr="00334495" w:rsidRDefault="00C75C2C" w:rsidP="00C75C2C">
            <w:pPr>
              <w:pStyle w:val="TableParagraph"/>
              <w:kinsoku w:val="0"/>
              <w:overflowPunct w:val="0"/>
              <w:spacing w:line="276" w:lineRule="auto"/>
              <w:ind w:left="9"/>
              <w:jc w:val="both"/>
              <w:rPr>
                <w:rFonts w:ascii="Arial Nova Light" w:hAnsi="Arial Nova Light" w:cs="Arial"/>
                <w:color w:val="007E39"/>
                <w:sz w:val="22"/>
                <w:szCs w:val="22"/>
                <w:u w:val="single"/>
                <w:lang w:val="ro-RO"/>
              </w:rPr>
            </w:pPr>
            <w:r w:rsidRPr="00334495">
              <w:rPr>
                <w:rFonts w:ascii="Arial Nova Light" w:hAnsi="Arial Nova Light" w:cs="Arial"/>
                <w:color w:val="007E39"/>
                <w:sz w:val="22"/>
                <w:szCs w:val="22"/>
              </w:rPr>
              <w:t xml:space="preserve">Standard S.C.7.1. </w:t>
            </w:r>
            <w:r w:rsidRPr="00334495">
              <w:rPr>
                <w:rFonts w:ascii="Arial Nova Light" w:hAnsi="Arial Nova Light" w:cs="Arial"/>
                <w:color w:val="007E39"/>
                <w:sz w:val="22"/>
                <w:szCs w:val="22"/>
                <w:u w:val="single"/>
              </w:rPr>
              <w:t xml:space="preserve">Preparation and transmission of reports </w:t>
            </w:r>
          </w:p>
          <w:p w14:paraId="641DFA4D" w14:textId="0B0F2A47" w:rsidR="00C767ED" w:rsidRPr="00334495" w:rsidRDefault="00C75C2C" w:rsidP="00C75C2C">
            <w:pPr>
              <w:pStyle w:val="TableParagraph"/>
              <w:kinsoku w:val="0"/>
              <w:overflowPunct w:val="0"/>
              <w:spacing w:line="276" w:lineRule="auto"/>
              <w:ind w:left="9"/>
              <w:jc w:val="both"/>
              <w:rPr>
                <w:rFonts w:ascii="Arial Nova Light" w:hAnsi="Arial Nova Light" w:cs="Arial"/>
                <w:b/>
                <w:bCs/>
                <w:color w:val="007E39"/>
                <w:szCs w:val="22"/>
                <w:lang w:val="ro-RO"/>
              </w:rPr>
            </w:pPr>
            <w:r w:rsidRPr="00334495">
              <w:rPr>
                <w:rFonts w:ascii="Arial Nova Light" w:hAnsi="Arial Nova Light" w:cs="Arial"/>
                <w:color w:val="007E39"/>
                <w:sz w:val="22"/>
                <w:szCs w:val="22"/>
              </w:rPr>
              <w:t>The HEI prepares and transmits or publishes reports, according to the law.</w:t>
            </w:r>
          </w:p>
        </w:tc>
      </w:tr>
      <w:tr w:rsidR="00C75C2C" w:rsidRPr="00334495" w14:paraId="2CA7F3E1" w14:textId="77777777" w:rsidTr="00C65E7A">
        <w:trPr>
          <w:trHeight w:val="325"/>
        </w:trPr>
        <w:tc>
          <w:tcPr>
            <w:tcW w:w="5000" w:type="pct"/>
          </w:tcPr>
          <w:p w14:paraId="0FB4F858" w14:textId="3194588D" w:rsidR="00C75C2C" w:rsidRPr="00334495" w:rsidRDefault="00EB1676" w:rsidP="00C36606">
            <w:pPr>
              <w:pStyle w:val="TableParagraph"/>
              <w:kinsoku w:val="0"/>
              <w:overflowPunct w:val="0"/>
              <w:spacing w:line="276" w:lineRule="auto"/>
              <w:ind w:left="708"/>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Indicator I.P.C.7.1.1 </w:t>
            </w:r>
            <w:r w:rsidR="00436D90" w:rsidRPr="00334495">
              <w:rPr>
                <w:rFonts w:ascii="Arial Nova Light" w:hAnsi="Arial Nova Light" w:cs="Arial"/>
                <w:sz w:val="22"/>
                <w:szCs w:val="22"/>
              </w:rPr>
              <w:t>The organizational component collects and transmits the requested data, respectively prepares and publishes reports, ensuring compliance with the obligations arising from public responsibility.</w:t>
            </w:r>
          </w:p>
        </w:tc>
      </w:tr>
      <w:tr w:rsidR="000D2E02" w:rsidRPr="00334495" w14:paraId="5BF90EED" w14:textId="77777777" w:rsidTr="00C65E7A">
        <w:trPr>
          <w:trHeight w:val="325"/>
        </w:trPr>
        <w:tc>
          <w:tcPr>
            <w:tcW w:w="5000" w:type="pct"/>
          </w:tcPr>
          <w:p w14:paraId="5B8D6F70" w14:textId="1D1D1A08" w:rsidR="000D2E02" w:rsidRPr="00334495" w:rsidRDefault="000D2E02" w:rsidP="000D2E02">
            <w:pPr>
              <w:pStyle w:val="TableParagraph"/>
              <w:kinsoku w:val="0"/>
              <w:overflowPunct w:val="0"/>
              <w:spacing w:line="276" w:lineRule="auto"/>
              <w:jc w:val="both"/>
              <w:rPr>
                <w:rFonts w:ascii="Arial Nova Light" w:hAnsi="Arial Nova Light" w:cs="Arial"/>
                <w:b/>
                <w:bCs/>
                <w:color w:val="007E39"/>
                <w:spacing w:val="-1"/>
                <w:szCs w:val="22"/>
                <w:lang w:val="ro-RO"/>
              </w:rPr>
            </w:pPr>
            <w:r w:rsidRPr="00334495">
              <w:rPr>
                <w:rFonts w:ascii="Arial Nova Light" w:hAnsi="Arial Nova Light" w:cs="Arial"/>
                <w:b/>
                <w:bCs/>
                <w:color w:val="007E39"/>
                <w:szCs w:val="22"/>
              </w:rPr>
              <w:t>Criterion C.8. Participation in external evaluation processes, according to the law</w:t>
            </w:r>
          </w:p>
        </w:tc>
      </w:tr>
      <w:tr w:rsidR="000D2E02" w:rsidRPr="00334495" w14:paraId="5F530044" w14:textId="77777777" w:rsidTr="00C65E7A">
        <w:trPr>
          <w:trHeight w:val="325"/>
        </w:trPr>
        <w:tc>
          <w:tcPr>
            <w:tcW w:w="5000" w:type="pct"/>
          </w:tcPr>
          <w:p w14:paraId="007C6AF8" w14:textId="3AAA92BB" w:rsidR="000D2E02" w:rsidRPr="00334495" w:rsidRDefault="000D2E02" w:rsidP="000D2E02">
            <w:pPr>
              <w:pStyle w:val="TableParagraph"/>
              <w:kinsoku w:val="0"/>
              <w:overflowPunct w:val="0"/>
              <w:spacing w:line="276" w:lineRule="auto"/>
              <w:ind w:left="9"/>
              <w:jc w:val="both"/>
              <w:rPr>
                <w:rFonts w:ascii="Arial Nova Light" w:hAnsi="Arial Nova Light" w:cs="Arial"/>
                <w:color w:val="007E39"/>
                <w:sz w:val="22"/>
                <w:szCs w:val="22"/>
                <w:lang w:val="ro-RO"/>
              </w:rPr>
            </w:pPr>
            <w:r w:rsidRPr="00334495">
              <w:rPr>
                <w:rFonts w:ascii="Arial Nova Light" w:hAnsi="Arial Nova Light" w:cs="Arial"/>
                <w:color w:val="007E39"/>
                <w:sz w:val="22"/>
                <w:szCs w:val="22"/>
              </w:rPr>
              <w:t xml:space="preserve">Standard S.C.8.1. </w:t>
            </w:r>
            <w:r w:rsidRPr="00334495">
              <w:rPr>
                <w:rFonts w:ascii="Arial Nova Light" w:hAnsi="Arial Nova Light" w:cs="Arial"/>
                <w:color w:val="007E39"/>
                <w:sz w:val="22"/>
                <w:szCs w:val="22"/>
                <w:u w:val="single"/>
              </w:rPr>
              <w:t>Compliance with the obligation of external evaluation</w:t>
            </w:r>
          </w:p>
          <w:p w14:paraId="44BB4501" w14:textId="662FD94E" w:rsidR="000D2E02" w:rsidRPr="00334495" w:rsidRDefault="000D2E02" w:rsidP="000D2E02">
            <w:pPr>
              <w:pStyle w:val="TableParagraph"/>
              <w:kinsoku w:val="0"/>
              <w:overflowPunct w:val="0"/>
              <w:spacing w:line="276" w:lineRule="auto"/>
              <w:jc w:val="both"/>
              <w:rPr>
                <w:rFonts w:ascii="Arial Nova Light" w:hAnsi="Arial Nova Light" w:cs="Arial"/>
                <w:color w:val="007E39"/>
                <w:spacing w:val="-1"/>
                <w:sz w:val="22"/>
                <w:szCs w:val="22"/>
                <w:lang w:val="ro-RO"/>
              </w:rPr>
            </w:pPr>
            <w:r w:rsidRPr="00334495">
              <w:rPr>
                <w:rFonts w:ascii="Arial Nova Light" w:hAnsi="Arial Nova Light" w:cs="Arial"/>
                <w:color w:val="007E39"/>
                <w:sz w:val="22"/>
                <w:szCs w:val="22"/>
              </w:rPr>
              <w:t xml:space="preserve">The IÎS is subject to the external quality assessment process, according to the law. </w:t>
            </w:r>
          </w:p>
        </w:tc>
      </w:tr>
      <w:tr w:rsidR="000D2E02" w:rsidRPr="00334495" w14:paraId="1D20A54C" w14:textId="77777777" w:rsidTr="00C65E7A">
        <w:trPr>
          <w:trHeight w:val="325"/>
        </w:trPr>
        <w:tc>
          <w:tcPr>
            <w:tcW w:w="5000" w:type="pct"/>
          </w:tcPr>
          <w:p w14:paraId="5D3032FB" w14:textId="222C6915" w:rsidR="000D2E02" w:rsidRPr="00334495" w:rsidRDefault="000D2E02" w:rsidP="000D2E02">
            <w:pPr>
              <w:pStyle w:val="TableParagraph"/>
              <w:kinsoku w:val="0"/>
              <w:overflowPunct w:val="0"/>
              <w:spacing w:line="276" w:lineRule="auto"/>
              <w:ind w:left="708"/>
              <w:jc w:val="both"/>
              <w:rPr>
                <w:rFonts w:ascii="Arial Nova Light" w:hAnsi="Arial Nova Light" w:cs="Arial"/>
                <w:color w:val="70AD47" w:themeColor="accent6"/>
                <w:sz w:val="22"/>
                <w:szCs w:val="22"/>
                <w:lang w:val="ro-RO"/>
              </w:rPr>
            </w:pPr>
            <w:r w:rsidRPr="00334495">
              <w:rPr>
                <w:rFonts w:ascii="Arial Nova Light" w:hAnsi="Arial Nova Light" w:cs="Arial"/>
                <w:color w:val="007E39"/>
                <w:sz w:val="22"/>
                <w:szCs w:val="22"/>
              </w:rPr>
              <w:t xml:space="preserve">Indicator I.P.C.8.1.1 </w:t>
            </w:r>
            <w:r w:rsidRPr="00334495">
              <w:rPr>
                <w:rFonts w:ascii="Arial Nova Light" w:hAnsi="Arial Nova Light" w:cs="Arial"/>
                <w:sz w:val="22"/>
                <w:szCs w:val="22"/>
              </w:rPr>
              <w:t>The organizational component carries out the procedures related to the external quality evaluation process, in order to organize, under the law, the evaluated study program.</w:t>
            </w:r>
          </w:p>
        </w:tc>
      </w:tr>
    </w:tbl>
    <w:p w14:paraId="05143A2E" w14:textId="18F161DA" w:rsidR="004A4449" w:rsidRPr="00334495" w:rsidRDefault="004A4449" w:rsidP="003D2087">
      <w:pPr>
        <w:pStyle w:val="BodyText"/>
        <w:tabs>
          <w:tab w:val="left" w:pos="601"/>
        </w:tabs>
        <w:kinsoku w:val="0"/>
        <w:overflowPunct w:val="0"/>
        <w:spacing w:before="0" w:after="120"/>
        <w:ind w:left="0" w:right="412"/>
        <w:jc w:val="both"/>
        <w:rPr>
          <w:rFonts w:ascii="Arial Nova Light" w:hAnsi="Arial Nova Light"/>
          <w:color w:val="000000"/>
          <w:sz w:val="22"/>
          <w:szCs w:val="22"/>
          <w:lang w:val="ro-RO"/>
        </w:rPr>
      </w:pPr>
    </w:p>
    <w:sectPr w:rsidR="004A4449" w:rsidRPr="00334495" w:rsidSect="00C65E7A">
      <w:headerReference w:type="default" r:id="rId8"/>
      <w:footerReference w:type="even" r:id="rId9"/>
      <w:footerReference w:type="default" r:id="rId10"/>
      <w:pgSz w:w="11906" w:h="16838"/>
      <w:pgMar w:top="1418" w:right="851" w:bottom="851" w:left="1134" w:header="43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D915" w14:textId="77777777" w:rsidR="00F308B9" w:rsidRDefault="00F308B9" w:rsidP="00D17080">
      <w:pPr>
        <w:spacing w:after="0" w:line="240" w:lineRule="auto"/>
      </w:pPr>
      <w:r>
        <w:separator/>
      </w:r>
    </w:p>
  </w:endnote>
  <w:endnote w:type="continuationSeparator" w:id="0">
    <w:p w14:paraId="282A0A57" w14:textId="77777777" w:rsidR="00F308B9" w:rsidRDefault="00F308B9" w:rsidP="00D1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268680"/>
      <w:docPartObj>
        <w:docPartGallery w:val="Page Numbers (Bottom of Page)"/>
        <w:docPartUnique/>
      </w:docPartObj>
    </w:sdtPr>
    <w:sdtContent>
      <w:p w14:paraId="3BF0B6F1" w14:textId="5142AB1F" w:rsidR="00E14D72" w:rsidRDefault="00E14D72" w:rsidP="00EF1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1DDA5" w14:textId="77777777" w:rsidR="00E14D72" w:rsidRDefault="00E14D72" w:rsidP="00E14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6E10" w14:textId="77777777" w:rsidR="00E14D72" w:rsidRDefault="00E14D72" w:rsidP="00E14D72">
    <w:pPr>
      <w:pStyle w:val="Footer"/>
      <w:jc w:val="center"/>
      <w:rPr>
        <w:rFonts w:ascii="Arial Nova Light" w:hAnsi="Arial Nova Light"/>
        <w:color w:val="4472C4" w:themeColor="accent1"/>
        <w:sz w:val="20"/>
        <w:szCs w:val="20"/>
      </w:rPr>
    </w:pPr>
  </w:p>
  <w:p w14:paraId="01B409C8" w14:textId="0B591BC1" w:rsidR="00E14D72" w:rsidRPr="00E14D72" w:rsidRDefault="00E14D72" w:rsidP="00E14D72">
    <w:pPr>
      <w:pStyle w:val="Footer"/>
      <w:jc w:val="center"/>
      <w:rPr>
        <w:rFonts w:ascii="Arial Nova Light" w:hAnsi="Arial Nova Light"/>
        <w:color w:val="4472C4" w:themeColor="accent1"/>
        <w:sz w:val="20"/>
        <w:szCs w:val="20"/>
      </w:rPr>
    </w:pPr>
    <w:r w:rsidRPr="00E14D72">
      <w:rPr>
        <w:rFonts w:ascii="Arial Nova Light" w:hAnsi="Arial Nova Light"/>
        <w:color w:val="4472C4" w:themeColor="accent1"/>
        <w:sz w:val="20"/>
        <w:szCs w:val="20"/>
      </w:rPr>
      <w:t xml:space="preserve">Pag. </w:t>
    </w:r>
    <w:r w:rsidRPr="00E14D72">
      <w:rPr>
        <w:rFonts w:ascii="Arial Nova Light" w:hAnsi="Arial Nova Light"/>
        <w:color w:val="4472C4" w:themeColor="accent1"/>
        <w:sz w:val="20"/>
        <w:szCs w:val="20"/>
      </w:rPr>
      <w:fldChar w:fldCharType="begin"/>
    </w:r>
    <w:r w:rsidRPr="00E14D72">
      <w:rPr>
        <w:rFonts w:ascii="Arial Nova Light" w:hAnsi="Arial Nova Light"/>
        <w:color w:val="4472C4" w:themeColor="accent1"/>
        <w:sz w:val="20"/>
        <w:szCs w:val="20"/>
      </w:rPr>
      <w:instrText xml:space="preserve"> PAGE  \* Arabic  \* MERGEFORMAT </w:instrText>
    </w:r>
    <w:r w:rsidRPr="00E14D72">
      <w:rPr>
        <w:rFonts w:ascii="Arial Nova Light" w:hAnsi="Arial Nova Light"/>
        <w:color w:val="4472C4" w:themeColor="accent1"/>
        <w:sz w:val="20"/>
        <w:szCs w:val="20"/>
      </w:rPr>
      <w:fldChar w:fldCharType="separate"/>
    </w:r>
    <w:r w:rsidRPr="00E14D72">
      <w:rPr>
        <w:rFonts w:ascii="Arial Nova Light" w:hAnsi="Arial Nova Light"/>
        <w:noProof/>
        <w:color w:val="4472C4" w:themeColor="accent1"/>
        <w:sz w:val="20"/>
        <w:szCs w:val="20"/>
      </w:rPr>
      <w:t>2</w:t>
    </w:r>
    <w:r w:rsidRPr="00E14D72">
      <w:rPr>
        <w:rFonts w:ascii="Arial Nova Light" w:hAnsi="Arial Nova Light"/>
        <w:color w:val="4472C4" w:themeColor="accent1"/>
        <w:sz w:val="20"/>
        <w:szCs w:val="20"/>
      </w:rPr>
      <w:fldChar w:fldCharType="end"/>
    </w:r>
    <w:r w:rsidRPr="00E14D72">
      <w:rPr>
        <w:rFonts w:ascii="Arial Nova Light" w:hAnsi="Arial Nova Light"/>
        <w:color w:val="4472C4" w:themeColor="accent1"/>
        <w:sz w:val="20"/>
        <w:szCs w:val="20"/>
      </w:rPr>
      <w:t xml:space="preserve"> from </w:t>
    </w:r>
    <w:r w:rsidRPr="00E14D72">
      <w:rPr>
        <w:rFonts w:ascii="Arial Nova Light" w:hAnsi="Arial Nova Light"/>
        <w:color w:val="4472C4" w:themeColor="accent1"/>
        <w:sz w:val="20"/>
        <w:szCs w:val="20"/>
      </w:rPr>
      <w:fldChar w:fldCharType="begin"/>
    </w:r>
    <w:r w:rsidRPr="00E14D72">
      <w:rPr>
        <w:rFonts w:ascii="Arial Nova Light" w:hAnsi="Arial Nova Light"/>
        <w:color w:val="4472C4" w:themeColor="accent1"/>
        <w:sz w:val="20"/>
        <w:szCs w:val="20"/>
      </w:rPr>
      <w:instrText xml:space="preserve"> NUMPAGES  \* Arabic  \* MERGEFORMAT </w:instrText>
    </w:r>
    <w:r w:rsidRPr="00E14D72">
      <w:rPr>
        <w:rFonts w:ascii="Arial Nova Light" w:hAnsi="Arial Nova Light"/>
        <w:color w:val="4472C4" w:themeColor="accent1"/>
        <w:sz w:val="20"/>
        <w:szCs w:val="20"/>
      </w:rPr>
      <w:fldChar w:fldCharType="separate"/>
    </w:r>
    <w:r w:rsidRPr="00E14D72">
      <w:rPr>
        <w:rFonts w:ascii="Arial Nova Light" w:hAnsi="Arial Nova Light"/>
        <w:noProof/>
        <w:color w:val="4472C4" w:themeColor="accent1"/>
        <w:sz w:val="20"/>
        <w:szCs w:val="20"/>
      </w:rPr>
      <w:t>2</w:t>
    </w:r>
    <w:r w:rsidRPr="00E14D72">
      <w:rPr>
        <w:rFonts w:ascii="Arial Nova Light" w:hAnsi="Arial Nova Light"/>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A4D3" w14:textId="77777777" w:rsidR="00F308B9" w:rsidRDefault="00F308B9" w:rsidP="00D17080">
      <w:pPr>
        <w:spacing w:after="0" w:line="240" w:lineRule="auto"/>
      </w:pPr>
      <w:r>
        <w:separator/>
      </w:r>
    </w:p>
  </w:footnote>
  <w:footnote w:type="continuationSeparator" w:id="0">
    <w:p w14:paraId="5B37DBA8" w14:textId="77777777" w:rsidR="00F308B9" w:rsidRDefault="00F308B9" w:rsidP="00D17080">
      <w:pPr>
        <w:spacing w:after="0" w:line="240" w:lineRule="auto"/>
      </w:pPr>
      <w:r>
        <w:continuationSeparator/>
      </w:r>
    </w:p>
  </w:footnote>
  <w:footnote w:id="1">
    <w:p w14:paraId="6987C34C" w14:textId="0F023692" w:rsidR="006179E9" w:rsidRPr="002F4D3E" w:rsidRDefault="006179E9">
      <w:pPr>
        <w:pStyle w:val="FootnoteText"/>
        <w:rPr>
          <w:rFonts w:ascii="Arial Nova Light" w:hAnsi="Arial Nova Light"/>
        </w:rPr>
      </w:pPr>
      <w:r w:rsidRPr="002F4D3E">
        <w:rPr>
          <w:rStyle w:val="FootnoteReference"/>
          <w:rFonts w:ascii="Arial Nova Light" w:hAnsi="Arial Nova Light"/>
        </w:rPr>
        <w:footnoteRef/>
      </w:r>
      <w:r w:rsidRPr="002F4D3E">
        <w:rPr>
          <w:rFonts w:ascii="Arial Nova Light" w:hAnsi="Arial Nova Light"/>
        </w:rPr>
        <w:t xml:space="preserve"> </w:t>
      </w:r>
      <w:r w:rsidRPr="002F4D3E">
        <w:rPr>
          <w:rFonts w:ascii="Arial Nova Light" w:eastAsia="Times New Roman" w:hAnsi="Arial Nova Light" w:cs="Arial"/>
          <w:color w:val="333333"/>
          <w:kern w:val="0"/>
          <w14:ligatures w14:val="none"/>
        </w:rPr>
        <w:t xml:space="preserve">The term of the programs refers to the external quality evaluation for the study programs included in a master's/doctoral field. The name of program will continue to be used.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70AD47" w:themeColor="accent6"/>
      </w:tblBorders>
      <w:tblLook w:val="04A0" w:firstRow="1" w:lastRow="0" w:firstColumn="1" w:lastColumn="0" w:noHBand="0" w:noVBand="1"/>
    </w:tblPr>
    <w:tblGrid>
      <w:gridCol w:w="1174"/>
      <w:gridCol w:w="8187"/>
    </w:tblGrid>
    <w:tr w:rsidR="00105EB9" w:rsidRPr="00105EB9" w14:paraId="199F6FEA" w14:textId="77777777" w:rsidTr="00C65E7A">
      <w:tc>
        <w:tcPr>
          <w:tcW w:w="1101" w:type="dxa"/>
          <w:hideMark/>
        </w:tcPr>
        <w:p w14:paraId="0D46C0D1" w14:textId="066997C1" w:rsidR="003B5F52" w:rsidRPr="00105EB9" w:rsidRDefault="00593DBE" w:rsidP="003B5F52">
          <w:pPr>
            <w:widowControl w:val="0"/>
            <w:tabs>
              <w:tab w:val="center" w:pos="4513"/>
              <w:tab w:val="right" w:pos="9026"/>
            </w:tabs>
            <w:autoSpaceDE w:val="0"/>
            <w:autoSpaceDN w:val="0"/>
            <w:spacing w:after="0" w:line="240" w:lineRule="auto"/>
            <w:rPr>
              <w:rFonts w:ascii="Calibri" w:eastAsia="Calibri" w:hAnsi="Calibri" w:cs="Calibri"/>
              <w:color w:val="385623" w:themeColor="accent6" w:themeShade="80"/>
              <w:lang w:bidi="en-US"/>
            </w:rPr>
          </w:pPr>
          <w:r>
            <w:rPr>
              <w:noProof/>
            </w:rPr>
            <w:drawing>
              <wp:inline distT="0" distB="0" distL="0" distR="0" wp14:anchorId="1BEF7619" wp14:editId="06D861DB">
                <wp:extent cx="608693" cy="558800"/>
                <wp:effectExtent l="0" t="0" r="0" b="0"/>
                <wp:docPr id="868489830" name="Picture 2" descr="A green and black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830" name="Picture 2" descr="A green and black text and number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4863" t="10744" r="6922" b="8264"/>
                        <a:stretch/>
                      </pic:blipFill>
                      <pic:spPr bwMode="auto">
                        <a:xfrm>
                          <a:off x="0" y="0"/>
                          <a:ext cx="613825" cy="5635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7" w:type="dxa"/>
          <w:vAlign w:val="center"/>
        </w:tcPr>
        <w:p w14:paraId="6E5FD1D6" w14:textId="77777777" w:rsidR="003B5F52" w:rsidRPr="00334495" w:rsidRDefault="003B5F52" w:rsidP="00C65E7A">
          <w:pPr>
            <w:widowControl w:val="0"/>
            <w:autoSpaceDE w:val="0"/>
            <w:autoSpaceDN w:val="0"/>
            <w:spacing w:after="0" w:line="240" w:lineRule="auto"/>
            <w:jc w:val="right"/>
            <w:rPr>
              <w:rFonts w:ascii="Arial Nova Light" w:eastAsia="Calibri" w:hAnsi="Arial Nova Light" w:cs="Tahoma"/>
              <w:b/>
              <w:color w:val="385623" w:themeColor="accent6" w:themeShade="80"/>
              <w:sz w:val="18"/>
              <w:szCs w:val="18"/>
              <w:lang w:bidi="en-US"/>
            </w:rPr>
          </w:pPr>
          <w:r w:rsidRPr="00334495">
            <w:rPr>
              <w:rFonts w:ascii="Arial Nova Light" w:eastAsia="Calibri" w:hAnsi="Arial Nova Light" w:cs="Tahoma"/>
              <w:b/>
              <w:color w:val="385623" w:themeColor="accent6" w:themeShade="80"/>
              <w:sz w:val="18"/>
              <w:szCs w:val="18"/>
              <w:lang w:bidi="en-US"/>
            </w:rPr>
            <w:t>ROMANIAN AGENCY FOR QUALITY ASSURANCE IN HIGHER EDUCATION</w:t>
          </w:r>
        </w:p>
        <w:p w14:paraId="6D01FC9F" w14:textId="77777777" w:rsidR="003B5F52" w:rsidRPr="00334495" w:rsidRDefault="003B5F52" w:rsidP="00C65E7A">
          <w:pPr>
            <w:widowControl w:val="0"/>
            <w:autoSpaceDE w:val="0"/>
            <w:autoSpaceDN w:val="0"/>
            <w:spacing w:after="0" w:line="240" w:lineRule="auto"/>
            <w:jc w:val="right"/>
            <w:rPr>
              <w:rFonts w:ascii="Arial Nova Light" w:eastAsia="Calibri" w:hAnsi="Arial Nova Light" w:cs="Tahoma"/>
              <w:i/>
              <w:color w:val="385623" w:themeColor="accent6" w:themeShade="80"/>
              <w:sz w:val="16"/>
              <w:szCs w:val="16"/>
              <w:lang w:bidi="en-US"/>
            </w:rPr>
          </w:pPr>
          <w:r w:rsidRPr="00334495">
            <w:rPr>
              <w:rFonts w:ascii="Arial Nova Light" w:eastAsia="Calibri" w:hAnsi="Arial Nova Light" w:cs="Tahoma"/>
              <w:i/>
              <w:color w:val="385623" w:themeColor="accent6" w:themeShade="80"/>
              <w:sz w:val="16"/>
              <w:szCs w:val="16"/>
              <w:lang w:bidi="en-US"/>
            </w:rPr>
            <w:t xml:space="preserve">Member of the European Association for Quality Assurance in Higher Education - </w:t>
          </w:r>
          <w:r w:rsidRPr="00334495">
            <w:rPr>
              <w:rFonts w:ascii="Arial Nova Light" w:eastAsia="Calibri" w:hAnsi="Arial Nova Light" w:cs="Tahoma"/>
              <w:b/>
              <w:i/>
              <w:color w:val="385623" w:themeColor="accent6" w:themeShade="80"/>
              <w:sz w:val="16"/>
              <w:szCs w:val="16"/>
              <w:lang w:bidi="en-US"/>
            </w:rPr>
            <w:t>ENQA</w:t>
          </w:r>
        </w:p>
        <w:p w14:paraId="7BA59058" w14:textId="1A62D78B" w:rsidR="003B5F52" w:rsidRPr="00105EB9" w:rsidRDefault="003B5F52" w:rsidP="00C65E7A">
          <w:pPr>
            <w:widowControl w:val="0"/>
            <w:autoSpaceDE w:val="0"/>
            <w:autoSpaceDN w:val="0"/>
            <w:spacing w:after="0" w:line="240" w:lineRule="auto"/>
            <w:jc w:val="right"/>
            <w:rPr>
              <w:rFonts w:ascii="Tahoma" w:eastAsia="Calibri" w:hAnsi="Tahoma" w:cs="Tahoma"/>
              <w:b/>
              <w:i/>
              <w:color w:val="385623" w:themeColor="accent6" w:themeShade="80"/>
              <w:sz w:val="16"/>
              <w:szCs w:val="16"/>
              <w:lang w:bidi="en-US"/>
            </w:rPr>
          </w:pPr>
          <w:r w:rsidRPr="00334495">
            <w:rPr>
              <w:rFonts w:ascii="Arial Nova Light" w:eastAsia="Calibri" w:hAnsi="Arial Nova Light" w:cs="Tahoma"/>
              <w:i/>
              <w:color w:val="385623" w:themeColor="accent6" w:themeShade="80"/>
              <w:sz w:val="16"/>
              <w:szCs w:val="16"/>
              <w:lang w:bidi="en-US"/>
            </w:rPr>
            <w:t xml:space="preserve">Registered in the European Register for Quality Assurance in Higher Education – </w:t>
          </w:r>
          <w:r w:rsidRPr="00334495">
            <w:rPr>
              <w:rFonts w:ascii="Arial Nova Light" w:eastAsia="Calibri" w:hAnsi="Arial Nova Light" w:cs="Tahoma"/>
              <w:b/>
              <w:i/>
              <w:color w:val="385623" w:themeColor="accent6" w:themeShade="80"/>
              <w:sz w:val="16"/>
              <w:szCs w:val="16"/>
              <w:lang w:bidi="en-US"/>
            </w:rPr>
            <w:t>EQAR</w:t>
          </w:r>
        </w:p>
      </w:tc>
    </w:tr>
  </w:tbl>
  <w:p w14:paraId="0EACA6B8" w14:textId="77777777" w:rsidR="003B5F52" w:rsidRPr="003B5F52" w:rsidRDefault="003B5F52" w:rsidP="00467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60"/>
    <w:multiLevelType w:val="multilevel"/>
    <w:tmpl w:val="000008E3"/>
    <w:lvl w:ilvl="0">
      <w:start w:val="1"/>
      <w:numFmt w:val="upperRoman"/>
      <w:lvlText w:val="%1."/>
      <w:lvlJc w:val="left"/>
      <w:pPr>
        <w:ind w:left="365" w:hanging="176"/>
      </w:pPr>
      <w:rPr>
        <w:rFonts w:ascii="Arial" w:hAnsi="Arial" w:cs="Arial"/>
        <w:b/>
        <w:bCs/>
        <w:color w:val="333333"/>
        <w:w w:val="99"/>
        <w:sz w:val="21"/>
        <w:szCs w:val="21"/>
      </w:rPr>
    </w:lvl>
    <w:lvl w:ilvl="1">
      <w:numFmt w:val="bullet"/>
      <w:lvlText w:val="•"/>
      <w:lvlJc w:val="left"/>
      <w:pPr>
        <w:ind w:left="1444" w:hanging="176"/>
      </w:pPr>
    </w:lvl>
    <w:lvl w:ilvl="2">
      <w:numFmt w:val="bullet"/>
      <w:lvlText w:val="•"/>
      <w:lvlJc w:val="left"/>
      <w:pPr>
        <w:ind w:left="2523" w:hanging="176"/>
      </w:pPr>
    </w:lvl>
    <w:lvl w:ilvl="3">
      <w:numFmt w:val="bullet"/>
      <w:lvlText w:val="•"/>
      <w:lvlJc w:val="left"/>
      <w:pPr>
        <w:ind w:left="3603" w:hanging="176"/>
      </w:pPr>
    </w:lvl>
    <w:lvl w:ilvl="4">
      <w:numFmt w:val="bullet"/>
      <w:lvlText w:val="•"/>
      <w:lvlJc w:val="left"/>
      <w:pPr>
        <w:ind w:left="4682" w:hanging="176"/>
      </w:pPr>
    </w:lvl>
    <w:lvl w:ilvl="5">
      <w:numFmt w:val="bullet"/>
      <w:lvlText w:val="•"/>
      <w:lvlJc w:val="left"/>
      <w:pPr>
        <w:ind w:left="5762" w:hanging="176"/>
      </w:pPr>
    </w:lvl>
    <w:lvl w:ilvl="6">
      <w:numFmt w:val="bullet"/>
      <w:lvlText w:val="•"/>
      <w:lvlJc w:val="left"/>
      <w:pPr>
        <w:ind w:left="6841" w:hanging="176"/>
      </w:pPr>
    </w:lvl>
    <w:lvl w:ilvl="7">
      <w:numFmt w:val="bullet"/>
      <w:lvlText w:val="•"/>
      <w:lvlJc w:val="left"/>
      <w:pPr>
        <w:ind w:left="7920" w:hanging="176"/>
      </w:pPr>
    </w:lvl>
    <w:lvl w:ilvl="8">
      <w:numFmt w:val="bullet"/>
      <w:lvlText w:val="•"/>
      <w:lvlJc w:val="left"/>
      <w:pPr>
        <w:ind w:left="9000" w:hanging="176"/>
      </w:pPr>
    </w:lvl>
  </w:abstractNum>
  <w:abstractNum w:abstractNumId="1" w15:restartNumberingAfterBreak="0">
    <w:nsid w:val="00000461"/>
    <w:multiLevelType w:val="multilevel"/>
    <w:tmpl w:val="000008E4"/>
    <w:lvl w:ilvl="0">
      <w:start w:val="1"/>
      <w:numFmt w:val="decimal"/>
      <w:lvlText w:val="%1"/>
      <w:lvlJc w:val="left"/>
      <w:pPr>
        <w:ind w:left="365" w:hanging="156"/>
      </w:pPr>
      <w:rPr>
        <w:rFonts w:ascii="Arial" w:hAnsi="Arial" w:cs="Arial"/>
        <w:b/>
        <w:bCs/>
        <w:color w:val="333333"/>
        <w:w w:val="102"/>
        <w:position w:val="8"/>
        <w:sz w:val="17"/>
        <w:szCs w:val="17"/>
      </w:rPr>
    </w:lvl>
    <w:lvl w:ilvl="1">
      <w:numFmt w:val="bullet"/>
      <w:lvlText w:val="•"/>
      <w:lvlJc w:val="left"/>
      <w:pPr>
        <w:ind w:left="1444" w:hanging="156"/>
      </w:pPr>
    </w:lvl>
    <w:lvl w:ilvl="2">
      <w:numFmt w:val="bullet"/>
      <w:lvlText w:val="•"/>
      <w:lvlJc w:val="left"/>
      <w:pPr>
        <w:ind w:left="2523" w:hanging="156"/>
      </w:pPr>
    </w:lvl>
    <w:lvl w:ilvl="3">
      <w:numFmt w:val="bullet"/>
      <w:lvlText w:val="•"/>
      <w:lvlJc w:val="left"/>
      <w:pPr>
        <w:ind w:left="3603" w:hanging="156"/>
      </w:pPr>
    </w:lvl>
    <w:lvl w:ilvl="4">
      <w:numFmt w:val="bullet"/>
      <w:lvlText w:val="•"/>
      <w:lvlJc w:val="left"/>
      <w:pPr>
        <w:ind w:left="4682" w:hanging="156"/>
      </w:pPr>
    </w:lvl>
    <w:lvl w:ilvl="5">
      <w:numFmt w:val="bullet"/>
      <w:lvlText w:val="•"/>
      <w:lvlJc w:val="left"/>
      <w:pPr>
        <w:ind w:left="5762" w:hanging="156"/>
      </w:pPr>
    </w:lvl>
    <w:lvl w:ilvl="6">
      <w:numFmt w:val="bullet"/>
      <w:lvlText w:val="•"/>
      <w:lvlJc w:val="left"/>
      <w:pPr>
        <w:ind w:left="6841" w:hanging="156"/>
      </w:pPr>
    </w:lvl>
    <w:lvl w:ilvl="7">
      <w:numFmt w:val="bullet"/>
      <w:lvlText w:val="•"/>
      <w:lvlJc w:val="left"/>
      <w:pPr>
        <w:ind w:left="7920" w:hanging="156"/>
      </w:pPr>
    </w:lvl>
    <w:lvl w:ilvl="8">
      <w:numFmt w:val="bullet"/>
      <w:lvlText w:val="•"/>
      <w:lvlJc w:val="left"/>
      <w:pPr>
        <w:ind w:left="9000" w:hanging="156"/>
      </w:pPr>
    </w:lvl>
  </w:abstractNum>
  <w:num w:numId="1" w16cid:durableId="1997804862">
    <w:abstractNumId w:val="0"/>
  </w:num>
  <w:num w:numId="2" w16cid:durableId="126087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C"/>
    <w:rsid w:val="0000363C"/>
    <w:rsid w:val="000212E3"/>
    <w:rsid w:val="00021BB8"/>
    <w:rsid w:val="0004246F"/>
    <w:rsid w:val="00043413"/>
    <w:rsid w:val="00092371"/>
    <w:rsid w:val="000A4BFC"/>
    <w:rsid w:val="000B7402"/>
    <w:rsid w:val="000D0560"/>
    <w:rsid w:val="000D2E02"/>
    <w:rsid w:val="000E4ACF"/>
    <w:rsid w:val="00105EB9"/>
    <w:rsid w:val="001174D9"/>
    <w:rsid w:val="00125489"/>
    <w:rsid w:val="001363E7"/>
    <w:rsid w:val="001371A0"/>
    <w:rsid w:val="0015123C"/>
    <w:rsid w:val="00156852"/>
    <w:rsid w:val="00164493"/>
    <w:rsid w:val="00186F0D"/>
    <w:rsid w:val="0019153D"/>
    <w:rsid w:val="001918FA"/>
    <w:rsid w:val="00192470"/>
    <w:rsid w:val="001C0DAE"/>
    <w:rsid w:val="001C3228"/>
    <w:rsid w:val="001E7D4A"/>
    <w:rsid w:val="001F6E40"/>
    <w:rsid w:val="00234DC3"/>
    <w:rsid w:val="00257AE2"/>
    <w:rsid w:val="0026499D"/>
    <w:rsid w:val="00286F6D"/>
    <w:rsid w:val="002911FE"/>
    <w:rsid w:val="00293123"/>
    <w:rsid w:val="002A2DFB"/>
    <w:rsid w:val="002B021C"/>
    <w:rsid w:val="002B09CA"/>
    <w:rsid w:val="002B38CF"/>
    <w:rsid w:val="002B40AF"/>
    <w:rsid w:val="002B4BCA"/>
    <w:rsid w:val="002B7292"/>
    <w:rsid w:val="002C2736"/>
    <w:rsid w:val="002C3303"/>
    <w:rsid w:val="002D1F46"/>
    <w:rsid w:val="002D776E"/>
    <w:rsid w:val="002E645F"/>
    <w:rsid w:val="002F2DF0"/>
    <w:rsid w:val="002F4D3E"/>
    <w:rsid w:val="002F4E19"/>
    <w:rsid w:val="00300E19"/>
    <w:rsid w:val="00317F38"/>
    <w:rsid w:val="0032495D"/>
    <w:rsid w:val="00330402"/>
    <w:rsid w:val="00334495"/>
    <w:rsid w:val="00346858"/>
    <w:rsid w:val="00352839"/>
    <w:rsid w:val="00396227"/>
    <w:rsid w:val="003A2508"/>
    <w:rsid w:val="003B5F52"/>
    <w:rsid w:val="003C029E"/>
    <w:rsid w:val="003D2087"/>
    <w:rsid w:val="003F14DB"/>
    <w:rsid w:val="003F4F85"/>
    <w:rsid w:val="00404164"/>
    <w:rsid w:val="00424882"/>
    <w:rsid w:val="00432FC4"/>
    <w:rsid w:val="00436D90"/>
    <w:rsid w:val="00441F08"/>
    <w:rsid w:val="004547F0"/>
    <w:rsid w:val="004603FD"/>
    <w:rsid w:val="0046245A"/>
    <w:rsid w:val="00467C97"/>
    <w:rsid w:val="004953A8"/>
    <w:rsid w:val="00496D16"/>
    <w:rsid w:val="004A19EB"/>
    <w:rsid w:val="004A4449"/>
    <w:rsid w:val="004A47DB"/>
    <w:rsid w:val="004B44AC"/>
    <w:rsid w:val="004C05A1"/>
    <w:rsid w:val="004C4C2F"/>
    <w:rsid w:val="004C72EE"/>
    <w:rsid w:val="004E7CAA"/>
    <w:rsid w:val="004F1501"/>
    <w:rsid w:val="00505343"/>
    <w:rsid w:val="005112AF"/>
    <w:rsid w:val="00511F87"/>
    <w:rsid w:val="005230C1"/>
    <w:rsid w:val="0052536B"/>
    <w:rsid w:val="005350A7"/>
    <w:rsid w:val="005366BF"/>
    <w:rsid w:val="00564F95"/>
    <w:rsid w:val="00581BAE"/>
    <w:rsid w:val="005878C2"/>
    <w:rsid w:val="005906F2"/>
    <w:rsid w:val="00593DBE"/>
    <w:rsid w:val="00603720"/>
    <w:rsid w:val="006071E0"/>
    <w:rsid w:val="006179E9"/>
    <w:rsid w:val="00617F2F"/>
    <w:rsid w:val="0064112D"/>
    <w:rsid w:val="00650BF3"/>
    <w:rsid w:val="00651F41"/>
    <w:rsid w:val="00663922"/>
    <w:rsid w:val="00664DE1"/>
    <w:rsid w:val="006665AF"/>
    <w:rsid w:val="00687327"/>
    <w:rsid w:val="006B7F47"/>
    <w:rsid w:val="006D0B06"/>
    <w:rsid w:val="006F3F5A"/>
    <w:rsid w:val="00700111"/>
    <w:rsid w:val="0071484C"/>
    <w:rsid w:val="007235E3"/>
    <w:rsid w:val="00725202"/>
    <w:rsid w:val="00725791"/>
    <w:rsid w:val="00730383"/>
    <w:rsid w:val="00731725"/>
    <w:rsid w:val="00740CC8"/>
    <w:rsid w:val="00742BC1"/>
    <w:rsid w:val="00747C72"/>
    <w:rsid w:val="0076339B"/>
    <w:rsid w:val="00770749"/>
    <w:rsid w:val="0078316F"/>
    <w:rsid w:val="00786FCE"/>
    <w:rsid w:val="007B1378"/>
    <w:rsid w:val="007B5FD6"/>
    <w:rsid w:val="007C3A3E"/>
    <w:rsid w:val="007E6260"/>
    <w:rsid w:val="007F1321"/>
    <w:rsid w:val="00801695"/>
    <w:rsid w:val="00805CD9"/>
    <w:rsid w:val="00816134"/>
    <w:rsid w:val="00816AD6"/>
    <w:rsid w:val="00843406"/>
    <w:rsid w:val="00857B57"/>
    <w:rsid w:val="00857C0C"/>
    <w:rsid w:val="00872A5A"/>
    <w:rsid w:val="00873440"/>
    <w:rsid w:val="00885563"/>
    <w:rsid w:val="008A30CA"/>
    <w:rsid w:val="008A349E"/>
    <w:rsid w:val="008A5052"/>
    <w:rsid w:val="008A7A67"/>
    <w:rsid w:val="008D4541"/>
    <w:rsid w:val="008D5106"/>
    <w:rsid w:val="008D6D21"/>
    <w:rsid w:val="008D73D7"/>
    <w:rsid w:val="008E285F"/>
    <w:rsid w:val="008E4BE0"/>
    <w:rsid w:val="008E6BB1"/>
    <w:rsid w:val="008E76C1"/>
    <w:rsid w:val="008F236D"/>
    <w:rsid w:val="00905414"/>
    <w:rsid w:val="00907A41"/>
    <w:rsid w:val="00916566"/>
    <w:rsid w:val="009348C3"/>
    <w:rsid w:val="00936042"/>
    <w:rsid w:val="009361E6"/>
    <w:rsid w:val="009428CB"/>
    <w:rsid w:val="00947B19"/>
    <w:rsid w:val="0095566C"/>
    <w:rsid w:val="0097493A"/>
    <w:rsid w:val="009835E6"/>
    <w:rsid w:val="009A619C"/>
    <w:rsid w:val="009B08FA"/>
    <w:rsid w:val="009B5C36"/>
    <w:rsid w:val="009B62A5"/>
    <w:rsid w:val="009C451B"/>
    <w:rsid w:val="009E7143"/>
    <w:rsid w:val="009F34AA"/>
    <w:rsid w:val="00A10378"/>
    <w:rsid w:val="00A1407D"/>
    <w:rsid w:val="00A33C05"/>
    <w:rsid w:val="00A37C81"/>
    <w:rsid w:val="00A5037E"/>
    <w:rsid w:val="00A67DF7"/>
    <w:rsid w:val="00A7510A"/>
    <w:rsid w:val="00A775BF"/>
    <w:rsid w:val="00A8624F"/>
    <w:rsid w:val="00A90DD7"/>
    <w:rsid w:val="00AA6E91"/>
    <w:rsid w:val="00AE1376"/>
    <w:rsid w:val="00B01FE7"/>
    <w:rsid w:val="00B133D8"/>
    <w:rsid w:val="00B15332"/>
    <w:rsid w:val="00B37C17"/>
    <w:rsid w:val="00B463D9"/>
    <w:rsid w:val="00B52B82"/>
    <w:rsid w:val="00B73C05"/>
    <w:rsid w:val="00B92F84"/>
    <w:rsid w:val="00BA1558"/>
    <w:rsid w:val="00BD2433"/>
    <w:rsid w:val="00BD2DB9"/>
    <w:rsid w:val="00BE60E9"/>
    <w:rsid w:val="00BE7A19"/>
    <w:rsid w:val="00C10E1F"/>
    <w:rsid w:val="00C15AB0"/>
    <w:rsid w:val="00C165C6"/>
    <w:rsid w:val="00C16F71"/>
    <w:rsid w:val="00C32520"/>
    <w:rsid w:val="00C3327B"/>
    <w:rsid w:val="00C36606"/>
    <w:rsid w:val="00C43A7F"/>
    <w:rsid w:val="00C62A45"/>
    <w:rsid w:val="00C6341D"/>
    <w:rsid w:val="00C648E9"/>
    <w:rsid w:val="00C65E7A"/>
    <w:rsid w:val="00C67EEC"/>
    <w:rsid w:val="00C70DB4"/>
    <w:rsid w:val="00C75C2C"/>
    <w:rsid w:val="00C767ED"/>
    <w:rsid w:val="00C859D0"/>
    <w:rsid w:val="00CA2FB1"/>
    <w:rsid w:val="00CB429F"/>
    <w:rsid w:val="00CB7C08"/>
    <w:rsid w:val="00CC35AA"/>
    <w:rsid w:val="00CC37F4"/>
    <w:rsid w:val="00CE0C0A"/>
    <w:rsid w:val="00CE7F7F"/>
    <w:rsid w:val="00D00C15"/>
    <w:rsid w:val="00D01C96"/>
    <w:rsid w:val="00D17080"/>
    <w:rsid w:val="00D3533E"/>
    <w:rsid w:val="00D54420"/>
    <w:rsid w:val="00D60CB5"/>
    <w:rsid w:val="00D728FC"/>
    <w:rsid w:val="00D925EA"/>
    <w:rsid w:val="00DA335B"/>
    <w:rsid w:val="00DA4191"/>
    <w:rsid w:val="00DC0C0B"/>
    <w:rsid w:val="00DD2EAA"/>
    <w:rsid w:val="00DD2FA4"/>
    <w:rsid w:val="00DE6AC3"/>
    <w:rsid w:val="00DF2744"/>
    <w:rsid w:val="00E14D72"/>
    <w:rsid w:val="00E22CAE"/>
    <w:rsid w:val="00E37CC1"/>
    <w:rsid w:val="00E466C5"/>
    <w:rsid w:val="00E56853"/>
    <w:rsid w:val="00E649B2"/>
    <w:rsid w:val="00E758E9"/>
    <w:rsid w:val="00E95955"/>
    <w:rsid w:val="00EB1676"/>
    <w:rsid w:val="00EB4842"/>
    <w:rsid w:val="00EC16AD"/>
    <w:rsid w:val="00EE5A0D"/>
    <w:rsid w:val="00F04450"/>
    <w:rsid w:val="00F07363"/>
    <w:rsid w:val="00F112CE"/>
    <w:rsid w:val="00F27B10"/>
    <w:rsid w:val="00F308B9"/>
    <w:rsid w:val="00F31932"/>
    <w:rsid w:val="00F40DBE"/>
    <w:rsid w:val="00F5048E"/>
    <w:rsid w:val="00F50A5F"/>
    <w:rsid w:val="00F563A9"/>
    <w:rsid w:val="00F62B0C"/>
    <w:rsid w:val="00F640F6"/>
    <w:rsid w:val="00F659B0"/>
    <w:rsid w:val="00F75091"/>
    <w:rsid w:val="00F7518D"/>
    <w:rsid w:val="00F86646"/>
    <w:rsid w:val="00FC6AFD"/>
    <w:rsid w:val="00FE1291"/>
    <w:rsid w:val="00FE6006"/>
    <w:rsid w:val="00FF49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09E3B"/>
  <w15:chartTrackingRefBased/>
  <w15:docId w15:val="{8ABD7A7F-F4EB-4C2E-B0BD-BF96C19C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4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4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4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4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4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4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4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AC"/>
    <w:rPr>
      <w:rFonts w:eastAsiaTheme="majorEastAsia" w:cstheme="majorBidi"/>
      <w:color w:val="272727" w:themeColor="text1" w:themeTint="D8"/>
    </w:rPr>
  </w:style>
  <w:style w:type="paragraph" w:styleId="Title">
    <w:name w:val="Title"/>
    <w:basedOn w:val="Normal"/>
    <w:next w:val="Normal"/>
    <w:link w:val="TitleChar"/>
    <w:uiPriority w:val="10"/>
    <w:qFormat/>
    <w:rsid w:val="004B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AC"/>
    <w:pPr>
      <w:spacing w:before="160"/>
      <w:jc w:val="center"/>
    </w:pPr>
    <w:rPr>
      <w:i/>
      <w:iCs/>
      <w:color w:val="404040" w:themeColor="text1" w:themeTint="BF"/>
    </w:rPr>
  </w:style>
  <w:style w:type="character" w:customStyle="1" w:styleId="QuoteChar">
    <w:name w:val="Quote Char"/>
    <w:basedOn w:val="DefaultParagraphFont"/>
    <w:link w:val="Quote"/>
    <w:uiPriority w:val="29"/>
    <w:rsid w:val="004B44AC"/>
    <w:rPr>
      <w:i/>
      <w:iCs/>
      <w:color w:val="404040" w:themeColor="text1" w:themeTint="BF"/>
    </w:rPr>
  </w:style>
  <w:style w:type="paragraph" w:styleId="ListParagraph">
    <w:name w:val="List Paragraph"/>
    <w:basedOn w:val="Normal"/>
    <w:uiPriority w:val="34"/>
    <w:qFormat/>
    <w:rsid w:val="004B44AC"/>
    <w:pPr>
      <w:ind w:left="720"/>
      <w:contextualSpacing/>
    </w:pPr>
  </w:style>
  <w:style w:type="character" w:styleId="IntenseEmphasis">
    <w:name w:val="Intense Emphasis"/>
    <w:basedOn w:val="DefaultParagraphFont"/>
    <w:uiPriority w:val="21"/>
    <w:qFormat/>
    <w:rsid w:val="004B44AC"/>
    <w:rPr>
      <w:i/>
      <w:iCs/>
      <w:color w:val="2F5496" w:themeColor="accent1" w:themeShade="BF"/>
    </w:rPr>
  </w:style>
  <w:style w:type="paragraph" w:styleId="IntenseQuote">
    <w:name w:val="Intense Quote"/>
    <w:basedOn w:val="Normal"/>
    <w:next w:val="Normal"/>
    <w:link w:val="IntenseQuoteChar"/>
    <w:uiPriority w:val="30"/>
    <w:qFormat/>
    <w:rsid w:val="004B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4AC"/>
    <w:rPr>
      <w:i/>
      <w:iCs/>
      <w:color w:val="2F5496" w:themeColor="accent1" w:themeShade="BF"/>
    </w:rPr>
  </w:style>
  <w:style w:type="character" w:styleId="IntenseReference">
    <w:name w:val="Intense Reference"/>
    <w:basedOn w:val="DefaultParagraphFont"/>
    <w:uiPriority w:val="32"/>
    <w:qFormat/>
    <w:rsid w:val="004B44AC"/>
    <w:rPr>
      <w:b/>
      <w:bCs/>
      <w:smallCaps/>
      <w:color w:val="2F5496" w:themeColor="accent1" w:themeShade="BF"/>
      <w:spacing w:val="5"/>
    </w:rPr>
  </w:style>
  <w:style w:type="paragraph" w:styleId="BodyText">
    <w:name w:val="Body Text"/>
    <w:basedOn w:val="Normal"/>
    <w:link w:val="BodyTextChar"/>
    <w:uiPriority w:val="1"/>
    <w:qFormat/>
    <w:rsid w:val="00907A41"/>
    <w:pPr>
      <w:widowControl w:val="0"/>
      <w:autoSpaceDE w:val="0"/>
      <w:autoSpaceDN w:val="0"/>
      <w:adjustRightInd w:val="0"/>
      <w:spacing w:before="3" w:after="0" w:line="240" w:lineRule="auto"/>
      <w:ind w:left="365"/>
    </w:pPr>
    <w:rPr>
      <w:rFonts w:ascii="Arial" w:eastAsiaTheme="minorEastAsia" w:hAnsi="Arial" w:cs="Arial"/>
      <w:kern w:val="0"/>
      <w:sz w:val="21"/>
      <w:szCs w:val="21"/>
      <w:lang w:val="en-US"/>
      <w14:ligatures w14:val="none"/>
    </w:rPr>
  </w:style>
  <w:style w:type="character" w:customStyle="1" w:styleId="BodyTextChar">
    <w:name w:val="Body Text Char"/>
    <w:basedOn w:val="DefaultParagraphFont"/>
    <w:link w:val="BodyText"/>
    <w:uiPriority w:val="1"/>
    <w:rsid w:val="00907A41"/>
    <w:rPr>
      <w:rFonts w:ascii="Arial" w:eastAsiaTheme="minorEastAsia" w:hAnsi="Arial" w:cs="Arial"/>
      <w:kern w:val="0"/>
      <w:sz w:val="21"/>
      <w:szCs w:val="21"/>
      <w:lang w:val="en-US"/>
      <w14:ligatures w14:val="none"/>
    </w:rPr>
  </w:style>
  <w:style w:type="table" w:styleId="TableGrid">
    <w:name w:val="Table Grid"/>
    <w:basedOn w:val="TableNormal"/>
    <w:uiPriority w:val="39"/>
    <w:rsid w:val="004A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1321"/>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n-US"/>
      <w14:ligatures w14:val="none"/>
    </w:rPr>
  </w:style>
  <w:style w:type="paragraph" w:styleId="EndnoteText">
    <w:name w:val="endnote text"/>
    <w:basedOn w:val="Normal"/>
    <w:link w:val="EndnoteTextChar"/>
    <w:uiPriority w:val="99"/>
    <w:semiHidden/>
    <w:unhideWhenUsed/>
    <w:rsid w:val="00D170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080"/>
    <w:rPr>
      <w:sz w:val="20"/>
      <w:szCs w:val="20"/>
    </w:rPr>
  </w:style>
  <w:style w:type="character" w:styleId="EndnoteReference">
    <w:name w:val="endnote reference"/>
    <w:basedOn w:val="DefaultParagraphFont"/>
    <w:uiPriority w:val="99"/>
    <w:semiHidden/>
    <w:unhideWhenUsed/>
    <w:rsid w:val="00D17080"/>
    <w:rPr>
      <w:vertAlign w:val="superscript"/>
    </w:rPr>
  </w:style>
  <w:style w:type="paragraph" w:styleId="FootnoteText">
    <w:name w:val="footnote text"/>
    <w:basedOn w:val="Normal"/>
    <w:link w:val="FootnoteTextChar"/>
    <w:uiPriority w:val="99"/>
    <w:semiHidden/>
    <w:unhideWhenUsed/>
    <w:rsid w:val="00D17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080"/>
    <w:rPr>
      <w:sz w:val="20"/>
      <w:szCs w:val="20"/>
    </w:rPr>
  </w:style>
  <w:style w:type="character" w:styleId="FootnoteReference">
    <w:name w:val="footnote reference"/>
    <w:basedOn w:val="DefaultParagraphFont"/>
    <w:uiPriority w:val="99"/>
    <w:semiHidden/>
    <w:unhideWhenUsed/>
    <w:rsid w:val="00D17080"/>
    <w:rPr>
      <w:vertAlign w:val="superscript"/>
    </w:rPr>
  </w:style>
  <w:style w:type="character" w:styleId="CommentReference">
    <w:name w:val="annotation reference"/>
    <w:basedOn w:val="DefaultParagraphFont"/>
    <w:uiPriority w:val="99"/>
    <w:semiHidden/>
    <w:unhideWhenUsed/>
    <w:rsid w:val="004C05A1"/>
    <w:rPr>
      <w:sz w:val="16"/>
      <w:szCs w:val="16"/>
    </w:rPr>
  </w:style>
  <w:style w:type="paragraph" w:styleId="CommentText">
    <w:name w:val="annotation text"/>
    <w:basedOn w:val="Normal"/>
    <w:link w:val="CommentTextChar"/>
    <w:uiPriority w:val="99"/>
    <w:unhideWhenUsed/>
    <w:rsid w:val="004C05A1"/>
    <w:pPr>
      <w:spacing w:line="240" w:lineRule="auto"/>
    </w:pPr>
    <w:rPr>
      <w:sz w:val="20"/>
      <w:szCs w:val="20"/>
    </w:rPr>
  </w:style>
  <w:style w:type="character" w:customStyle="1" w:styleId="CommentTextChar">
    <w:name w:val="Comment Text Char"/>
    <w:basedOn w:val="DefaultParagraphFont"/>
    <w:link w:val="CommentText"/>
    <w:uiPriority w:val="99"/>
    <w:rsid w:val="004C05A1"/>
    <w:rPr>
      <w:sz w:val="20"/>
      <w:szCs w:val="20"/>
    </w:rPr>
  </w:style>
  <w:style w:type="paragraph" w:styleId="CommentSubject">
    <w:name w:val="annotation subject"/>
    <w:basedOn w:val="CommentText"/>
    <w:next w:val="CommentText"/>
    <w:link w:val="CommentSubjectChar"/>
    <w:uiPriority w:val="99"/>
    <w:semiHidden/>
    <w:unhideWhenUsed/>
    <w:rsid w:val="004C05A1"/>
    <w:rPr>
      <w:b/>
      <w:bCs/>
    </w:rPr>
  </w:style>
  <w:style w:type="character" w:customStyle="1" w:styleId="CommentSubjectChar">
    <w:name w:val="Comment Subject Char"/>
    <w:basedOn w:val="CommentTextChar"/>
    <w:link w:val="CommentSubject"/>
    <w:uiPriority w:val="99"/>
    <w:semiHidden/>
    <w:rsid w:val="004C05A1"/>
    <w:rPr>
      <w:b/>
      <w:bCs/>
      <w:sz w:val="20"/>
      <w:szCs w:val="20"/>
    </w:rPr>
  </w:style>
  <w:style w:type="paragraph" w:styleId="BalloonText">
    <w:name w:val="Balloon Text"/>
    <w:basedOn w:val="Normal"/>
    <w:link w:val="BalloonTextChar"/>
    <w:uiPriority w:val="99"/>
    <w:semiHidden/>
    <w:unhideWhenUsed/>
    <w:rsid w:val="004C0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A1"/>
    <w:rPr>
      <w:rFonts w:ascii="Segoe UI" w:hAnsi="Segoe UI" w:cs="Segoe UI"/>
      <w:sz w:val="18"/>
      <w:szCs w:val="18"/>
    </w:rPr>
  </w:style>
  <w:style w:type="paragraph" w:styleId="Header">
    <w:name w:val="header"/>
    <w:basedOn w:val="Normal"/>
    <w:link w:val="HeaderChar"/>
    <w:uiPriority w:val="99"/>
    <w:unhideWhenUsed/>
    <w:rsid w:val="002F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F0"/>
  </w:style>
  <w:style w:type="paragraph" w:styleId="Footer">
    <w:name w:val="footer"/>
    <w:basedOn w:val="Normal"/>
    <w:link w:val="FooterChar"/>
    <w:uiPriority w:val="99"/>
    <w:unhideWhenUsed/>
    <w:rsid w:val="002F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F0"/>
  </w:style>
  <w:style w:type="character" w:styleId="PageNumber">
    <w:name w:val="page number"/>
    <w:basedOn w:val="DefaultParagraphFont"/>
    <w:uiPriority w:val="99"/>
    <w:semiHidden/>
    <w:unhideWhenUsed/>
    <w:rsid w:val="00E14D72"/>
  </w:style>
  <w:style w:type="character" w:styleId="PlaceholderText">
    <w:name w:val="Placeholder Text"/>
    <w:basedOn w:val="DefaultParagraphFont"/>
    <w:uiPriority w:val="99"/>
    <w:semiHidden/>
    <w:rsid w:val="00805C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5483">
      <w:bodyDiv w:val="1"/>
      <w:marLeft w:val="0"/>
      <w:marRight w:val="0"/>
      <w:marTop w:val="0"/>
      <w:marBottom w:val="0"/>
      <w:divBdr>
        <w:top w:val="none" w:sz="0" w:space="0" w:color="auto"/>
        <w:left w:val="none" w:sz="0" w:space="0" w:color="auto"/>
        <w:bottom w:val="none" w:sz="0" w:space="0" w:color="auto"/>
        <w:right w:val="none" w:sz="0" w:space="0" w:color="auto"/>
      </w:divBdr>
    </w:div>
    <w:div w:id="404689949">
      <w:bodyDiv w:val="1"/>
      <w:marLeft w:val="0"/>
      <w:marRight w:val="0"/>
      <w:marTop w:val="0"/>
      <w:marBottom w:val="0"/>
      <w:divBdr>
        <w:top w:val="none" w:sz="0" w:space="0" w:color="auto"/>
        <w:left w:val="none" w:sz="0" w:space="0" w:color="auto"/>
        <w:bottom w:val="none" w:sz="0" w:space="0" w:color="auto"/>
        <w:right w:val="none" w:sz="0" w:space="0" w:color="auto"/>
      </w:divBdr>
    </w:div>
    <w:div w:id="772166386">
      <w:bodyDiv w:val="1"/>
      <w:marLeft w:val="0"/>
      <w:marRight w:val="0"/>
      <w:marTop w:val="0"/>
      <w:marBottom w:val="0"/>
      <w:divBdr>
        <w:top w:val="none" w:sz="0" w:space="0" w:color="auto"/>
        <w:left w:val="none" w:sz="0" w:space="0" w:color="auto"/>
        <w:bottom w:val="none" w:sz="0" w:space="0" w:color="auto"/>
        <w:right w:val="none" w:sz="0" w:space="0" w:color="auto"/>
      </w:divBdr>
    </w:div>
    <w:div w:id="878274962">
      <w:bodyDiv w:val="1"/>
      <w:marLeft w:val="0"/>
      <w:marRight w:val="0"/>
      <w:marTop w:val="0"/>
      <w:marBottom w:val="0"/>
      <w:divBdr>
        <w:top w:val="none" w:sz="0" w:space="0" w:color="auto"/>
        <w:left w:val="none" w:sz="0" w:space="0" w:color="auto"/>
        <w:bottom w:val="none" w:sz="0" w:space="0" w:color="auto"/>
        <w:right w:val="none" w:sz="0" w:space="0" w:color="auto"/>
      </w:divBdr>
    </w:div>
    <w:div w:id="1111242629">
      <w:bodyDiv w:val="1"/>
      <w:marLeft w:val="0"/>
      <w:marRight w:val="0"/>
      <w:marTop w:val="0"/>
      <w:marBottom w:val="0"/>
      <w:divBdr>
        <w:top w:val="none" w:sz="0" w:space="0" w:color="auto"/>
        <w:left w:val="none" w:sz="0" w:space="0" w:color="auto"/>
        <w:bottom w:val="none" w:sz="0" w:space="0" w:color="auto"/>
        <w:right w:val="none" w:sz="0" w:space="0" w:color="auto"/>
      </w:divBdr>
    </w:div>
    <w:div w:id="1226717890">
      <w:bodyDiv w:val="1"/>
      <w:marLeft w:val="0"/>
      <w:marRight w:val="0"/>
      <w:marTop w:val="0"/>
      <w:marBottom w:val="0"/>
      <w:divBdr>
        <w:top w:val="none" w:sz="0" w:space="0" w:color="auto"/>
        <w:left w:val="none" w:sz="0" w:space="0" w:color="auto"/>
        <w:bottom w:val="none" w:sz="0" w:space="0" w:color="auto"/>
        <w:right w:val="none" w:sz="0" w:space="0" w:color="auto"/>
      </w:divBdr>
    </w:div>
    <w:div w:id="1512720725">
      <w:bodyDiv w:val="1"/>
      <w:marLeft w:val="0"/>
      <w:marRight w:val="0"/>
      <w:marTop w:val="0"/>
      <w:marBottom w:val="0"/>
      <w:divBdr>
        <w:top w:val="none" w:sz="0" w:space="0" w:color="auto"/>
        <w:left w:val="none" w:sz="0" w:space="0" w:color="auto"/>
        <w:bottom w:val="none" w:sz="0" w:space="0" w:color="auto"/>
        <w:right w:val="none" w:sz="0" w:space="0" w:color="auto"/>
      </w:divBdr>
    </w:div>
    <w:div w:id="16494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A1DF-C3D1-4473-9326-A7828062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2654</Words>
  <Characters>15399</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Georgiana Popescu</dc:creator>
  <cp:keywords/>
  <dc:description/>
  <cp:lastModifiedBy>Stefania Armaselu</cp:lastModifiedBy>
  <cp:revision>4</cp:revision>
  <cp:lastPrinted>2025-04-07T09:05:00Z</cp:lastPrinted>
  <dcterms:created xsi:type="dcterms:W3CDTF">2025-04-07T08:59:00Z</dcterms:created>
  <dcterms:modified xsi:type="dcterms:W3CDTF">2025-11-03T10:02:00Z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2024-12-10T13:20:58Z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43f7d58c-ddd1-4cf7-b725-a88b941e4bac</vt:lpwstr>
  </property>
  <property fmtid="{D5CDD505-2E9C-101B-9397-08002B2CF9AE}" pid="7" name="MSIP_Label_defa4170-0d19-0005-0004-bc88714345d2_ActionId">
    <vt:lpwstr>7fcb9fb9-aeb0-4514-87f1-47638d242015</vt:lpwstr>
  </property>
  <property fmtid="{D5CDD505-2E9C-101B-9397-08002B2CF9AE}" pid="8" name="MSIP_Label_defa4170-0d19-0005-0004-bc88714345d2_ContentBits">
    <vt:lpwstr>0</vt:lpwstr>
  </property>
  <property fmtid="{D5CDD505-2E9C-101B-9397-08002B2CF9AE}" pid="9" name="GrammarlyDocumentId">
    <vt:lpwstr>d8468c96136ea3341a95081392496dc5a4217a2e253caa26f84a3c374b011ea5</vt:lpwstr>
  </property>
</Properties>
</file>