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6A02" w14:textId="46D26607" w:rsidR="00A25C1A" w:rsidRDefault="00A25C1A" w:rsidP="00631848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</w:pPr>
      <w:r w:rsidRPr="002929E9"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eastAsia="ro-RO" w:bidi="en-US"/>
          <w14:ligatures w14:val="none"/>
        </w:rPr>
        <w:t>Annex 2</w:t>
      </w:r>
    </w:p>
    <w:p w14:paraId="64B14130" w14:textId="77777777" w:rsidR="00382529" w:rsidRPr="002929E9" w:rsidRDefault="00382529" w:rsidP="006318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</w:pPr>
    </w:p>
    <w:p w14:paraId="2C4F9F25" w14:textId="77777777" w:rsidR="00306554" w:rsidRDefault="00A25C1A" w:rsidP="00306554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</w:pPr>
      <w:r w:rsidRPr="00306554"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bidi="en-US"/>
          <w14:ligatures w14:val="none"/>
        </w:rPr>
        <w:t xml:space="preserve">Structure </w:t>
      </w:r>
    </w:p>
    <w:p w14:paraId="7E6F619D" w14:textId="2A2A1AB7" w:rsidR="000F06DC" w:rsidRPr="00306554" w:rsidRDefault="00A25C1A" w:rsidP="00306554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</w:pPr>
      <w:r w:rsidRPr="00306554"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bidi="en-US"/>
          <w14:ligatures w14:val="none"/>
        </w:rPr>
        <w:t>Internal Evaluation Report (REI)</w:t>
      </w:r>
    </w:p>
    <w:p w14:paraId="73ECB4A7" w14:textId="77777777" w:rsidR="009E406D" w:rsidRDefault="009E406D" w:rsidP="00631848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both"/>
        <w:rPr>
          <w:rFonts w:ascii="Arial Nova Light" w:eastAsia="Calibri" w:hAnsi="Arial Nova Light" w:cs="Times New Roman"/>
          <w:b/>
          <w:bCs/>
          <w:color w:val="007E39"/>
          <w:kern w:val="0"/>
          <w:sz w:val="28"/>
          <w:szCs w:val="28"/>
          <w:lang w:val="ro-RO" w:bidi="en-US"/>
          <w14:ligatures w14:val="none"/>
        </w:rPr>
      </w:pPr>
    </w:p>
    <w:p w14:paraId="2D524DC3" w14:textId="77777777" w:rsidR="009E406D" w:rsidRPr="002929E9" w:rsidRDefault="009E406D" w:rsidP="00631848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both"/>
        <w:rPr>
          <w:rFonts w:ascii="Arial Nova Light" w:eastAsia="Calibri" w:hAnsi="Arial Nova Light" w:cs="Times New Roman"/>
          <w:b/>
          <w:bCs/>
          <w:color w:val="007E39"/>
          <w:kern w:val="0"/>
          <w:sz w:val="28"/>
          <w:szCs w:val="28"/>
          <w:lang w:val="ro-RO" w:bidi="en-US"/>
          <w14:ligatures w14:val="none"/>
        </w:rPr>
      </w:pPr>
    </w:p>
    <w:bookmarkStart w:id="0" w:name="_Toc190186889" w:displacedByCustomXml="next"/>
    <w:sdt>
      <w:sdtPr>
        <w:rPr>
          <w:rFonts w:ascii="Arial Nova Light" w:eastAsiaTheme="minorHAnsi" w:hAnsi="Arial Nova Light" w:cstheme="minorBidi"/>
          <w:b w:val="0"/>
          <w:color w:val="auto"/>
          <w:kern w:val="2"/>
          <w:sz w:val="22"/>
          <w:szCs w:val="22"/>
          <w:lang w:val="en-US"/>
          <w14:ligatures w14:val="standardContextual"/>
        </w:rPr>
        <w:id w:val="2146541602"/>
        <w:docPartObj>
          <w:docPartGallery w:val="Table of Contents"/>
          <w:docPartUnique/>
        </w:docPartObj>
      </w:sdtPr>
      <w:sdtEndPr>
        <w:rPr>
          <w:b/>
          <w:noProof/>
          <w:color w:val="385623" w:themeColor="accent6" w:themeShade="80"/>
        </w:rPr>
      </w:sdtEndPr>
      <w:sdtContent>
        <w:p w14:paraId="6E2E2BF2" w14:textId="00E64E7E" w:rsidR="00306554" w:rsidRPr="00340455" w:rsidRDefault="002929E9" w:rsidP="00306554">
          <w:pPr>
            <w:pStyle w:val="Heading1"/>
            <w:rPr>
              <w:rFonts w:ascii="Arial Nova Light" w:hAnsi="Arial Nova Light"/>
              <w:b w:val="0"/>
              <w:noProof/>
              <w:color w:val="385623" w:themeColor="accent6" w:themeShade="80"/>
              <w:sz w:val="24"/>
              <w:szCs w:val="24"/>
            </w:rPr>
          </w:pPr>
          <w:r w:rsidRPr="00340455">
            <w:rPr>
              <w:rFonts w:ascii="Arial Nova Light" w:hAnsi="Arial Nova Light"/>
            </w:rPr>
            <w:t>CONTAINED:</w:t>
          </w:r>
          <w:bookmarkEnd w:id="0"/>
          <w:r w:rsidRPr="00340455">
            <w:rPr>
              <w:rFonts w:ascii="Arial Nova Light" w:hAnsi="Arial Nova Light"/>
              <w:b w:val="0"/>
              <w:color w:val="385623" w:themeColor="accent6" w:themeShade="80"/>
              <w:sz w:val="24"/>
              <w:szCs w:val="24"/>
            </w:rPr>
            <w:fldChar w:fldCharType="begin"/>
          </w:r>
          <w:r w:rsidRPr="00340455">
            <w:rPr>
              <w:rFonts w:ascii="Arial Nova Light" w:hAnsi="Arial Nova Light"/>
              <w:b w:val="0"/>
              <w:color w:val="385623" w:themeColor="accent6" w:themeShade="80"/>
              <w:sz w:val="24"/>
              <w:szCs w:val="24"/>
            </w:rPr>
            <w:instrText xml:space="preserve"> TOC \o "1-3" \h \z \u </w:instrText>
          </w:r>
          <w:r w:rsidRPr="00340455">
            <w:rPr>
              <w:rFonts w:ascii="Arial Nova Light" w:hAnsi="Arial Nova Light"/>
              <w:b w:val="0"/>
              <w:color w:val="385623" w:themeColor="accent6" w:themeShade="80"/>
              <w:sz w:val="24"/>
              <w:szCs w:val="24"/>
            </w:rPr>
            <w:fldChar w:fldCharType="separate"/>
          </w:r>
        </w:p>
        <w:p w14:paraId="78728EA0" w14:textId="709D9F5C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0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I. General information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_Toc190186890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5DD68F47" w14:textId="4DE4820D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1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II. Elaboration of the internal evaluation report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_Toc190186891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0B437A14" w14:textId="16487158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2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III. Information necessary for assessing the degree of compliance with the standards and performance indicators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_Toc190186892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36AEF83B" w14:textId="4D05B867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3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IV. Recommendations and main conclusions resulting from the last external quality assessment procedure, and actions taken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_Toc190186893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7175B44A" w14:textId="689015C2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4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V. SWOT analysis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_Toc190186894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4B927850" w14:textId="50A95B43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5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VI. Main challenges and development directions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_Toc190186895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4D1E7199" w14:textId="206AB44B" w:rsidR="00306554" w:rsidRPr="00340455" w:rsidRDefault="00306554" w:rsidP="00306554">
          <w:pPr>
            <w:pStyle w:val="TOC1"/>
            <w:rPr>
              <w:rFonts w:ascii="Arial Nova Light" w:eastAsiaTheme="minorEastAsia" w:hAnsi="Arial Nova Light"/>
              <w:noProof/>
              <w:color w:val="385623" w:themeColor="accent6" w:themeShade="80"/>
              <w:sz w:val="24"/>
              <w:szCs w:val="24"/>
              <w:lang w:eastAsia="en-GB"/>
            </w:rPr>
          </w:pPr>
          <w:hyperlink w:anchor="_Toc190186896" w:history="1">
            <w:r w:rsidRPr="00340455">
              <w:rPr>
                <w:rStyle w:val="Hyperlink"/>
                <w:rFonts w:ascii="Arial Nova Light" w:hAnsi="Arial Nova Light"/>
                <w:noProof/>
                <w:color w:val="385623" w:themeColor="accent6" w:themeShade="80"/>
                <w:sz w:val="24"/>
                <w:szCs w:val="24"/>
                <w:lang w:bidi="en-US"/>
              </w:rPr>
              <w:t>VII. Opis Annexes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_Toc190186896 \h </w:instrTex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40455">
              <w:rPr>
                <w:rFonts w:ascii="Arial Nova Light" w:hAnsi="Arial Nova Light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0B91172F" w14:textId="7E320E2E" w:rsidR="002929E9" w:rsidRPr="00306554" w:rsidRDefault="002929E9" w:rsidP="00631848">
          <w:pPr>
            <w:jc w:val="both"/>
            <w:rPr>
              <w:rFonts w:ascii="Arial Nova Light" w:hAnsi="Arial Nova Light"/>
              <w:b/>
              <w:noProof/>
              <w:color w:val="385623" w:themeColor="accent6" w:themeShade="80"/>
            </w:rPr>
          </w:pPr>
          <w:r w:rsidRPr="00340455">
            <w:rPr>
              <w:rFonts w:ascii="Arial Nova Light" w:hAnsi="Arial Nova Light"/>
              <w:noProof/>
              <w:color w:val="385623" w:themeColor="accent6" w:themeShade="80"/>
              <w:sz w:val="24"/>
              <w:szCs w:val="24"/>
            </w:rPr>
            <w:fldChar w:fldCharType="end"/>
          </w:r>
        </w:p>
      </w:sdtContent>
    </w:sdt>
    <w:p w14:paraId="61D06A26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47D0CAF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287E543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3A210EC8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F24D9B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E7001BD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2F059E6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2DDF3F2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DBE36D3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13330D4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81181CC" w14:textId="00625A9D" w:rsidR="009E406D" w:rsidRPr="000C754F" w:rsidRDefault="00940981" w:rsidP="00306554">
      <w:pPr>
        <w:rPr>
          <w:rFonts w:ascii="Arial Nova Light" w:hAnsi="Arial Nova Light"/>
          <w:b/>
          <w:bCs/>
          <w:noProof/>
        </w:rPr>
      </w:pPr>
      <w:r>
        <w:rPr>
          <w:rFonts w:ascii="Arial Nova Light" w:hAnsi="Arial Nova Light"/>
          <w:b/>
          <w:bCs/>
          <w:noProof/>
        </w:rPr>
        <w:br w:type="page"/>
      </w:r>
    </w:p>
    <w:p w14:paraId="514C09CD" w14:textId="77777777" w:rsidR="00306554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80A6CD3" w14:textId="3B79F8D6" w:rsidR="004343A1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1" w:name="_Toc190186890"/>
      <w:r w:rsidRPr="002929E9">
        <w:rPr>
          <w:rFonts w:ascii="Arial Nova Light" w:hAnsi="Arial Nova Light"/>
        </w:rPr>
        <w:t xml:space="preserve">I. General information </w:t>
      </w:r>
      <w:bookmarkEnd w:id="1"/>
    </w:p>
    <w:p w14:paraId="0D37A2E2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</w:rPr>
        <w:t xml:space="preserve">I.1. General description of the higher education institution or education provider </w:t>
      </w:r>
      <w:proofErr w:type="spellStart"/>
      <w:r w:rsidRPr="002929E9">
        <w:rPr>
          <w:rFonts w:ascii="Arial Nova Light" w:hAnsi="Arial Nova Light"/>
          <w:b/>
          <w:sz w:val="24"/>
          <w:szCs w:val="24"/>
        </w:rPr>
        <w:t>organisation</w:t>
      </w:r>
      <w:proofErr w:type="spellEnd"/>
      <w:r w:rsidRPr="002929E9">
        <w:rPr>
          <w:rFonts w:ascii="Arial Nova Light" w:hAnsi="Arial Nova Light"/>
          <w:b/>
          <w:sz w:val="24"/>
          <w:szCs w:val="24"/>
        </w:rPr>
        <w:t xml:space="preserve">, as applicable </w:t>
      </w:r>
    </w:p>
    <w:p w14:paraId="52FDA5BB" w14:textId="2CE45D85" w:rsidR="004343A1" w:rsidRPr="002929E9" w:rsidRDefault="004343A1" w:rsidP="007556B0">
      <w:pPr>
        <w:pStyle w:val="ListParagraph"/>
        <w:ind w:left="927"/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>(Establishment, evolution, mission, governance, structure, programs/fields of university studies, going through the procedures for external evaluation of the quality of education)</w:t>
      </w:r>
    </w:p>
    <w:p w14:paraId="38B31DB8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</w:rPr>
        <w:t xml:space="preserve">I.2. General description of the organizational component that organizes the bachelor's degree program </w:t>
      </w:r>
    </w:p>
    <w:p w14:paraId="7A63C86E" w14:textId="0DEF453A" w:rsidR="004343A1" w:rsidRPr="002929E9" w:rsidRDefault="001F4C3D" w:rsidP="007556B0">
      <w:pPr>
        <w:pStyle w:val="ListParagraph"/>
        <w:ind w:left="927"/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>(Establishment, evolution, governance, structure, programs/fields of university studies)</w:t>
      </w:r>
    </w:p>
    <w:p w14:paraId="67E1C6E9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</w:rPr>
        <w:t xml:space="preserve">I.3. General description of the bachelor's degree program </w:t>
      </w:r>
    </w:p>
    <w:p w14:paraId="3B476258" w14:textId="2E87E4D0" w:rsidR="001F4C3D" w:rsidRPr="002929E9" w:rsidRDefault="004343A1" w:rsidP="007556B0">
      <w:pPr>
        <w:pStyle w:val="ListParagraph"/>
        <w:ind w:left="927"/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>(Motivation for establishment - in case of provisional operating authorization, respectively, evolution and/or changes since the last external evaluation procedure of the quality of education, in the case of accreditation or accreditation maintenance procedures, as the case may be)</w:t>
      </w:r>
    </w:p>
    <w:p w14:paraId="7AE6E3D4" w14:textId="416E8E29" w:rsidR="000F6D1A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2" w:name="_Toc190186891"/>
      <w:r w:rsidRPr="002929E9">
        <w:rPr>
          <w:rFonts w:ascii="Arial Nova Light" w:hAnsi="Arial Nova Light"/>
        </w:rPr>
        <w:t xml:space="preserve">II. Elaboration of the internal evaluation report </w:t>
      </w:r>
      <w:bookmarkEnd w:id="2"/>
    </w:p>
    <w:p w14:paraId="2604E2F1" w14:textId="03216F32" w:rsidR="000F6D1A" w:rsidRPr="002929E9" w:rsidRDefault="000F6D1A" w:rsidP="00631848">
      <w:pPr>
        <w:pStyle w:val="ListParagraph"/>
        <w:ind w:left="927"/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7556B0">
        <w:rPr>
          <w:rFonts w:ascii="Arial Nova Light" w:hAnsi="Arial Nova Light"/>
          <w:color w:val="2F5496" w:themeColor="accent1" w:themeShade="BF"/>
        </w:rPr>
        <w:t>(The team that developed the report, milestones, standards and performance indicators, stakeholder involvement)</w:t>
      </w:r>
    </w:p>
    <w:p w14:paraId="18F8B3FD" w14:textId="32453C03" w:rsidR="00790270" w:rsidRPr="002929E9" w:rsidRDefault="00710F26" w:rsidP="007556B0">
      <w:pPr>
        <w:pStyle w:val="Heading1"/>
        <w:shd w:val="clear" w:color="auto" w:fill="E2EFD9" w:themeFill="accent6" w:themeFillTint="33"/>
        <w:ind w:left="567" w:hanging="567"/>
        <w:jc w:val="both"/>
        <w:rPr>
          <w:rFonts w:ascii="Arial Nova Light" w:hAnsi="Arial Nova Light"/>
        </w:rPr>
      </w:pPr>
      <w:bookmarkStart w:id="3" w:name="_Toc190186892"/>
      <w:r w:rsidRPr="002929E9">
        <w:rPr>
          <w:rFonts w:ascii="Arial Nova Light" w:hAnsi="Arial Nova Light"/>
        </w:rPr>
        <w:t>III. Information necessary for assessing the degree of compliance with the standards and performance indicators</w:t>
      </w:r>
      <w:r w:rsidR="007E34F9" w:rsidRPr="002929E9">
        <w:rPr>
          <w:rStyle w:val="FootnoteReference"/>
          <w:rFonts w:ascii="Arial Nova Light" w:hAnsi="Arial Nova Light"/>
          <w:color w:val="008000"/>
        </w:rPr>
        <w:footnoteReference w:id="1"/>
      </w:r>
      <w:bookmarkEnd w:id="3"/>
      <w:r w:rsidR="00790270" w:rsidRPr="002929E9">
        <w:rPr>
          <w:rFonts w:ascii="Arial Nova Light" w:hAnsi="Arial Nova Light"/>
        </w:rPr>
        <w:t xml:space="preserve"> </w:t>
      </w:r>
    </w:p>
    <w:p w14:paraId="4596EBDC" w14:textId="5D9226FC" w:rsidR="00790270" w:rsidRPr="007556B0" w:rsidRDefault="007324DC" w:rsidP="00631848">
      <w:pPr>
        <w:pStyle w:val="Heading4"/>
        <w:ind w:left="0" w:firstLine="0"/>
        <w:jc w:val="both"/>
        <w:rPr>
          <w:rFonts w:ascii="Arial Nova Light" w:hAnsi="Arial Nova Light"/>
          <w:sz w:val="24"/>
          <w:szCs w:val="24"/>
        </w:rPr>
      </w:pPr>
      <w:bookmarkStart w:id="4" w:name="_Toc190174888"/>
      <w:r w:rsidRPr="007556B0">
        <w:rPr>
          <w:rFonts w:ascii="Arial Nova Light" w:hAnsi="Arial Nova Light"/>
          <w:sz w:val="24"/>
          <w:szCs w:val="24"/>
        </w:rPr>
        <w:t>AREA A. Institutional capacity</w:t>
      </w:r>
      <w:bookmarkEnd w:id="4"/>
    </w:p>
    <w:p w14:paraId="7DB1CFE1" w14:textId="77777777" w:rsidR="001D5736" w:rsidRPr="002929E9" w:rsidRDefault="001D5736" w:rsidP="00631848">
      <w:pPr>
        <w:pStyle w:val="Heading5"/>
        <w:rPr>
          <w:rFonts w:ascii="Arial Nova Light" w:hAnsi="Arial Nova Light"/>
        </w:rPr>
      </w:pPr>
      <w:bookmarkStart w:id="5" w:name="_Toc190174889"/>
      <w:r w:rsidRPr="002929E9">
        <w:rPr>
          <w:rFonts w:ascii="Arial Nova Light" w:hAnsi="Arial Nova Light"/>
        </w:rPr>
        <w:t>Criterion A.1. Managerial and administrative institutional structures and processes, involving students and other stakeholders</w:t>
      </w:r>
      <w:bookmarkEnd w:id="5"/>
    </w:p>
    <w:p w14:paraId="107E4205" w14:textId="77777777" w:rsidR="001D5736" w:rsidRPr="002929E9" w:rsidRDefault="001D5736" w:rsidP="00631848">
      <w:pPr>
        <w:pStyle w:val="Heading5"/>
        <w:rPr>
          <w:rFonts w:ascii="Arial Nova Light" w:hAnsi="Arial Nova Light"/>
        </w:rPr>
      </w:pPr>
      <w:bookmarkStart w:id="6" w:name="_Toc190174890"/>
      <w:r w:rsidRPr="002929E9">
        <w:rPr>
          <w:rFonts w:ascii="Arial Nova Light" w:hAnsi="Arial Nova Light"/>
        </w:rPr>
        <w:t>S.A.1.1. Organizational components and institutional processes</w:t>
      </w:r>
      <w:bookmarkEnd w:id="6"/>
    </w:p>
    <w:p w14:paraId="56B76772" w14:textId="6CB5863F" w:rsidR="001D5736" w:rsidRPr="002929E9" w:rsidRDefault="001D5736" w:rsidP="00631848">
      <w:pPr>
        <w:spacing w:after="120" w:line="240" w:lineRule="auto"/>
        <w:jc w:val="both"/>
        <w:rPr>
          <w:rFonts w:ascii="Arial Nova Light" w:eastAsia="Calibri Light" w:hAnsi="Arial Nova Light"/>
          <w:lang w:val="ro-RO"/>
        </w:rPr>
      </w:pPr>
      <w:r w:rsidRPr="002929E9">
        <w:rPr>
          <w:rFonts w:ascii="Arial Nova Light" w:hAnsi="Arial Nova Light"/>
        </w:rPr>
        <w:t xml:space="preserve">The HEI has in its structure organizational components that function </w:t>
      </w:r>
      <w:proofErr w:type="gramStart"/>
      <w:r w:rsidRPr="002929E9">
        <w:rPr>
          <w:rFonts w:ascii="Arial Nova Light" w:hAnsi="Arial Nova Light"/>
        </w:rPr>
        <w:t>on the basis of</w:t>
      </w:r>
      <w:proofErr w:type="gramEnd"/>
      <w:r w:rsidRPr="002929E9">
        <w:rPr>
          <w:rFonts w:ascii="Arial Nova Light" w:hAnsi="Arial Nova Light"/>
        </w:rPr>
        <w:t xml:space="preserve"> appropriate competences, attributions, processes and application procedures, through which an effective management system is ensured.</w:t>
      </w:r>
    </w:p>
    <w:p w14:paraId="62E67406" w14:textId="77777777" w:rsidR="001D5736" w:rsidRPr="002929E9" w:rsidRDefault="001D5736" w:rsidP="00631848">
      <w:pPr>
        <w:jc w:val="both"/>
        <w:rPr>
          <w:rFonts w:ascii="Arial Nova Light" w:hAnsi="Arial Nova Light"/>
          <w:i/>
          <w:lang w:val="ro-RO"/>
        </w:rPr>
      </w:pPr>
      <w:r w:rsidRPr="002929E9">
        <w:rPr>
          <w:rFonts w:ascii="Arial Nova Light" w:hAnsi="Arial Nova Light"/>
          <w:i/>
        </w:rPr>
        <w:t>I.P.A.1.1.1 In order to carry out the university program/field of study, the HEI has adequate organizational components and a management system, the functioning of which is based on methodologies, regulations and procedures periodically reviewed, under the law.</w:t>
      </w:r>
    </w:p>
    <w:p w14:paraId="0AEC1726" w14:textId="5DC146AD" w:rsidR="001D5736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 xml:space="preserve">Presentation of the </w:t>
      </w:r>
      <w:proofErr w:type="gramStart"/>
      <w:r w:rsidRPr="002929E9">
        <w:rPr>
          <w:rFonts w:ascii="Arial Nova Light" w:hAnsi="Arial Nova Light"/>
          <w:color w:val="2F5496" w:themeColor="accent1" w:themeShade="BF"/>
        </w:rPr>
        <w:t>state of affairs</w:t>
      </w:r>
      <w:proofErr w:type="gramEnd"/>
      <w:r w:rsidRPr="002929E9">
        <w:rPr>
          <w:rFonts w:ascii="Arial Nova Light" w:hAnsi="Arial Nova Light"/>
          <w:color w:val="2F5496" w:themeColor="accent1" w:themeShade="BF"/>
        </w:rPr>
        <w:t>, supported by documents and data (documents are preferably included by links in the text of the OER)</w:t>
      </w:r>
    </w:p>
    <w:p w14:paraId="7EF91B2D" w14:textId="0EFF0110" w:rsidR="00AD080B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>Analysis of the facts</w:t>
      </w:r>
    </w:p>
    <w:p w14:paraId="607A3B12" w14:textId="4C5CC325" w:rsidR="00AD080B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</w:rPr>
        <w:t>Future directions of action</w:t>
      </w:r>
    </w:p>
    <w:p w14:paraId="1DB74C78" w14:textId="511675D8" w:rsidR="00E55655" w:rsidRDefault="00E55655" w:rsidP="00631848">
      <w:pPr>
        <w:ind w:left="360"/>
        <w:jc w:val="both"/>
        <w:rPr>
          <w:rFonts w:ascii="Arial Nova Light" w:hAnsi="Arial Nova Light"/>
          <w:lang w:val="ro-RO"/>
        </w:rPr>
      </w:pPr>
      <w:r w:rsidRPr="002929E9">
        <w:rPr>
          <w:rFonts w:ascii="Arial Nova Light" w:hAnsi="Arial Nova Light"/>
        </w:rPr>
        <w:t>(...)</w:t>
      </w:r>
    </w:p>
    <w:p w14:paraId="23AB2A3F" w14:textId="7B1B6A77" w:rsidR="00B678AA" w:rsidRDefault="00B678AA" w:rsidP="00B678AA">
      <w:pPr>
        <w:pStyle w:val="Heading5"/>
        <w:rPr>
          <w:rFonts w:ascii="Arial Nova Light" w:hAnsi="Arial Nova Light"/>
        </w:rPr>
      </w:pPr>
      <w:r w:rsidRPr="000F491E">
        <w:rPr>
          <w:rFonts w:ascii="Arial Nova Light" w:hAnsi="Arial Nova Light"/>
        </w:rPr>
        <w:lastRenderedPageBreak/>
        <w:t xml:space="preserve">Annex 8. </w:t>
      </w:r>
      <w:r w:rsidR="005764A9" w:rsidRPr="00BB3475">
        <w:rPr>
          <w:rFonts w:ascii="Arial Nova Light" w:eastAsia="Calibri" w:hAnsi="Arial Nova Light" w:cs="Arial"/>
          <w:lang w:bidi="en-US"/>
        </w:rPr>
        <w:t>Correspondence between the subjects included in the curriculum and the learning areas provided by the EAFSG</w:t>
      </w:r>
    </w:p>
    <w:p w14:paraId="60654F0C" w14:textId="77777777" w:rsidR="0013240D" w:rsidRPr="002929E9" w:rsidRDefault="0013240D" w:rsidP="00631848">
      <w:pPr>
        <w:ind w:left="360"/>
        <w:jc w:val="both"/>
        <w:rPr>
          <w:rFonts w:ascii="Arial Nova Light" w:hAnsi="Arial Nova Light"/>
          <w:lang w:val="ro-RO"/>
        </w:rPr>
      </w:pPr>
    </w:p>
    <w:p w14:paraId="6F5D3C79" w14:textId="3B334A8E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7" w:name="_Toc190186893"/>
      <w:r w:rsidRPr="002929E9">
        <w:rPr>
          <w:rFonts w:ascii="Arial Nova Light" w:hAnsi="Arial Nova Light"/>
        </w:rPr>
        <w:t xml:space="preserve">IV. Recommendations and main conclusions resulting from the last external quality </w:t>
      </w:r>
      <w:r w:rsidR="00784493">
        <w:rPr>
          <w:rFonts w:ascii="Arial Nova Light" w:hAnsi="Arial Nova Light"/>
        </w:rPr>
        <w:t>evaluation</w:t>
      </w:r>
      <w:r w:rsidRPr="002929E9">
        <w:rPr>
          <w:rFonts w:ascii="Arial Nova Light" w:hAnsi="Arial Nova Light"/>
        </w:rPr>
        <w:t xml:space="preserve"> procedure</w:t>
      </w:r>
      <w:r w:rsidR="00E55655" w:rsidRPr="002929E9">
        <w:rPr>
          <w:rFonts w:ascii="Arial Nova Light" w:hAnsi="Arial Nova Light"/>
        </w:rPr>
        <w:t>, and actions taken</w:t>
      </w:r>
      <w:bookmarkEnd w:id="7"/>
    </w:p>
    <w:p w14:paraId="267C7B77" w14:textId="77777777" w:rsidR="00306554" w:rsidRPr="002929E9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0377538B" w14:textId="1CD871FF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8" w:name="_Toc190186894"/>
      <w:r w:rsidRPr="002929E9">
        <w:rPr>
          <w:rFonts w:ascii="Arial Nova Light" w:hAnsi="Arial Nova Light"/>
        </w:rPr>
        <w:t>V. SWOT analysis</w:t>
      </w:r>
      <w:bookmarkEnd w:id="8"/>
    </w:p>
    <w:tbl>
      <w:tblPr>
        <w:tblStyle w:val="TableGrid1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4526"/>
        <w:gridCol w:w="1515"/>
        <w:gridCol w:w="3865"/>
      </w:tblGrid>
      <w:tr w:rsidR="00330889" w:rsidRPr="00330889" w14:paraId="657238D7" w14:textId="77777777" w:rsidTr="00306554">
        <w:tc>
          <w:tcPr>
            <w:tcW w:w="0" w:type="auto"/>
            <w:vAlign w:val="center"/>
          </w:tcPr>
          <w:p w14:paraId="4759F339" w14:textId="77777777" w:rsidR="00330889" w:rsidRPr="00330889" w:rsidRDefault="00330889" w:rsidP="00306554">
            <w:pPr>
              <w:shd w:val="clear" w:color="auto" w:fill="BDD6EE" w:themeFill="accent5" w:themeFillTint="66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Strengths:</w:t>
            </w:r>
          </w:p>
          <w:p w14:paraId="60D4A28E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FF0000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The strengths/examples of good practice identified throughout the report will be resumed in the analysis of the indicators. Other general strengths can also be formulated that do not fit into a certain indicator.</w:t>
            </w:r>
          </w:p>
        </w:tc>
        <w:tc>
          <w:tcPr>
            <w:tcW w:w="0" w:type="auto"/>
            <w:vAlign w:val="center"/>
          </w:tcPr>
          <w:p w14:paraId="586CFB0D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INTERNAL FACTORS</w:t>
            </w:r>
          </w:p>
          <w:p w14:paraId="67E7F6EA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  <w:sym w:font="Wingdings" w:char="F0DD"/>
            </w:r>
          </w:p>
        </w:tc>
        <w:tc>
          <w:tcPr>
            <w:tcW w:w="0" w:type="auto"/>
            <w:vAlign w:val="center"/>
          </w:tcPr>
          <w:p w14:paraId="48F85D01" w14:textId="77777777" w:rsidR="00330889" w:rsidRPr="00330889" w:rsidRDefault="00330889" w:rsidP="00306554">
            <w:pPr>
              <w:shd w:val="clear" w:color="auto" w:fill="FBE4D5" w:themeFill="accent2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Weaknesses:</w:t>
            </w:r>
          </w:p>
          <w:p w14:paraId="7B14BBB6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Arial Nova Light" w:hAnsi="Arial Nova Light" w:cs="Calibri"/>
                <w:color w:val="FF0000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The weaknesses identified throughout the report will be taken up as part of the analysis of the indicators. Other weaknesses, general, which do not fit into a certain indicator, can also be formulated.</w:t>
            </w:r>
          </w:p>
        </w:tc>
      </w:tr>
      <w:tr w:rsidR="00330889" w:rsidRPr="00330889" w14:paraId="02C91438" w14:textId="77777777" w:rsidTr="00306554">
        <w:trPr>
          <w:trHeight w:val="648"/>
        </w:trPr>
        <w:tc>
          <w:tcPr>
            <w:tcW w:w="0" w:type="auto"/>
            <w:vAlign w:val="center"/>
          </w:tcPr>
          <w:p w14:paraId="69FB7688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2765FF78" w14:textId="7792B2CC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8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8"/>
                <w:lang w:bidi="en-US"/>
              </w:rPr>
              <w:t>SWOT Analysis</w:t>
            </w:r>
          </w:p>
        </w:tc>
        <w:tc>
          <w:tcPr>
            <w:tcW w:w="0" w:type="auto"/>
            <w:vAlign w:val="center"/>
          </w:tcPr>
          <w:p w14:paraId="0F066122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</w:p>
        </w:tc>
      </w:tr>
      <w:tr w:rsidR="00330889" w:rsidRPr="00330889" w14:paraId="00584565" w14:textId="77777777" w:rsidTr="00306554">
        <w:tc>
          <w:tcPr>
            <w:tcW w:w="0" w:type="auto"/>
            <w:vAlign w:val="center"/>
          </w:tcPr>
          <w:p w14:paraId="77196B07" w14:textId="77777777" w:rsidR="00330889" w:rsidRPr="00330889" w:rsidRDefault="00330889" w:rsidP="00306554">
            <w:pPr>
              <w:shd w:val="clear" w:color="auto" w:fill="E2EFD9" w:themeFill="accent6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Opportunities:</w:t>
            </w:r>
          </w:p>
          <w:p w14:paraId="252BDEB6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2E74B5" w:themeColor="accent5" w:themeShade="BF"/>
                <w:lang w:val="fr-FR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External factors are identified that can create opportunities for improving the quality of education within the university curriculum. </w:t>
            </w:r>
          </w:p>
        </w:tc>
        <w:tc>
          <w:tcPr>
            <w:tcW w:w="0" w:type="auto"/>
            <w:vAlign w:val="center"/>
          </w:tcPr>
          <w:p w14:paraId="1F0BBD91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  <w:sym w:font="Wingdings" w:char="F0DE"/>
            </w:r>
          </w:p>
          <w:p w14:paraId="2074282A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EXTERNAL FACTORS</w:t>
            </w:r>
          </w:p>
        </w:tc>
        <w:tc>
          <w:tcPr>
            <w:tcW w:w="0" w:type="auto"/>
            <w:vAlign w:val="center"/>
          </w:tcPr>
          <w:p w14:paraId="2335877C" w14:textId="77777777" w:rsidR="00330889" w:rsidRPr="00330889" w:rsidRDefault="00330889" w:rsidP="00306554">
            <w:pPr>
              <w:shd w:val="clear" w:color="auto" w:fill="FFF2CC" w:themeFill="accent4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Threats:</w:t>
            </w:r>
          </w:p>
          <w:p w14:paraId="579B6AAD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2E74B5" w:themeColor="accent5" w:themeShade="BF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External factors are identified that could constitute threats to the quality of education within the university curriculum.</w:t>
            </w:r>
          </w:p>
        </w:tc>
      </w:tr>
    </w:tbl>
    <w:p w14:paraId="2A6F680F" w14:textId="77777777" w:rsidR="00306554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1EAC537" w14:textId="689154CF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9" w:name="_Toc190186895"/>
      <w:r w:rsidRPr="002929E9">
        <w:rPr>
          <w:rFonts w:ascii="Arial Nova Light" w:hAnsi="Arial Nova Light"/>
        </w:rPr>
        <w:t>VI. Main challenges and development directions</w:t>
      </w:r>
      <w:bookmarkEnd w:id="9"/>
    </w:p>
    <w:p w14:paraId="1F70A952" w14:textId="77777777" w:rsidR="00306554" w:rsidRPr="002929E9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FCA9FC6" w14:textId="304F61B1" w:rsidR="00377141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10" w:name="_Toc190186896"/>
      <w:r w:rsidRPr="002929E9">
        <w:rPr>
          <w:rFonts w:ascii="Arial Nova Light" w:hAnsi="Arial Nova Light"/>
        </w:rPr>
        <w:t>VII. Opis Annexes</w:t>
      </w:r>
      <w:bookmarkEnd w:id="10"/>
    </w:p>
    <w:p w14:paraId="70639053" w14:textId="0C94E2ED" w:rsidR="0073352E" w:rsidRPr="002929E9" w:rsidRDefault="0073352E" w:rsidP="00631848">
      <w:pPr>
        <w:pStyle w:val="Heading1"/>
        <w:jc w:val="both"/>
        <w:rPr>
          <w:rFonts w:ascii="Arial Nova Light" w:hAnsi="Arial Nova Light"/>
        </w:rPr>
      </w:pPr>
    </w:p>
    <w:sectPr w:rsidR="0073352E" w:rsidRPr="002929E9" w:rsidSect="00940981">
      <w:headerReference w:type="default" r:id="rId8"/>
      <w:footerReference w:type="default" r:id="rId9"/>
      <w:headerReference w:type="first" r:id="rId10"/>
      <w:footerReference w:type="first" r:id="rId11"/>
      <w:pgSz w:w="11901" w:h="16840"/>
      <w:pgMar w:top="1418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F225" w14:textId="77777777" w:rsidR="00012863" w:rsidRDefault="00012863" w:rsidP="006F4C21">
      <w:pPr>
        <w:spacing w:after="0" w:line="240" w:lineRule="auto"/>
      </w:pPr>
      <w:r>
        <w:separator/>
      </w:r>
    </w:p>
  </w:endnote>
  <w:endnote w:type="continuationSeparator" w:id="0">
    <w:p w14:paraId="094514C8" w14:textId="77777777" w:rsidR="00012863" w:rsidRDefault="00012863" w:rsidP="006F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A434" w14:textId="77777777" w:rsidR="007324DC" w:rsidRDefault="007324DC" w:rsidP="007324DC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</w:p>
  <w:p w14:paraId="116AB03F" w14:textId="40B311E0" w:rsidR="00756408" w:rsidRPr="007324DC" w:rsidRDefault="007324DC" w:rsidP="007324DC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  <w:r w:rsidRPr="007324DC">
      <w:rPr>
        <w:rFonts w:ascii="Arial Nova Light" w:hAnsi="Arial Nova Light"/>
        <w:color w:val="4472C4" w:themeColor="accent1"/>
        <w:sz w:val="20"/>
        <w:szCs w:val="20"/>
      </w:rPr>
      <w:t xml:space="preserve">Pag. 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7324DC">
      <w:rPr>
        <w:rFonts w:ascii="Arial Nova Light" w:hAnsi="Arial Nova Light"/>
        <w:color w:val="4472C4" w:themeColor="accent1"/>
        <w:sz w:val="20"/>
        <w:szCs w:val="20"/>
      </w:rPr>
      <w:instrText xml:space="preserve"> PAGE  \* Arabic  \* MERGEFORMAT </w:instrTex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7324DC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end"/>
    </w:r>
    <w:r w:rsidRPr="007324DC">
      <w:rPr>
        <w:rFonts w:ascii="Arial Nova Light" w:hAnsi="Arial Nova Light"/>
        <w:color w:val="4472C4" w:themeColor="accent1"/>
        <w:sz w:val="20"/>
        <w:szCs w:val="20"/>
      </w:rPr>
      <w:t xml:space="preserve"> from 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7324DC">
      <w:rPr>
        <w:rFonts w:ascii="Arial Nova Light" w:hAnsi="Arial Nova Light"/>
        <w:color w:val="4472C4" w:themeColor="accent1"/>
        <w:sz w:val="20"/>
        <w:szCs w:val="20"/>
      </w:rPr>
      <w:instrText xml:space="preserve"> NUMPAGES  \* Arabic  \* MERGEFORMAT </w:instrTex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7324DC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87BE" w14:textId="7252D52A" w:rsidR="00306554" w:rsidRPr="00306554" w:rsidRDefault="00306554" w:rsidP="00306554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  <w:r w:rsidRPr="00306554">
      <w:rPr>
        <w:rFonts w:ascii="Arial Nova Light" w:hAnsi="Arial Nova Light"/>
        <w:color w:val="4472C4" w:themeColor="accent1"/>
        <w:sz w:val="20"/>
        <w:szCs w:val="20"/>
      </w:rPr>
      <w:t xml:space="preserve">Pag. 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306554">
      <w:rPr>
        <w:rFonts w:ascii="Arial Nova Light" w:hAnsi="Arial Nova Light"/>
        <w:color w:val="4472C4" w:themeColor="accent1"/>
        <w:sz w:val="20"/>
        <w:szCs w:val="20"/>
      </w:rPr>
      <w:instrText xml:space="preserve"> PAGE  \* Arabic  \* MERGEFORMAT </w:instrTex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306554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end"/>
    </w:r>
    <w:r w:rsidRPr="00306554">
      <w:rPr>
        <w:rFonts w:ascii="Arial Nova Light" w:hAnsi="Arial Nova Light"/>
        <w:color w:val="4472C4" w:themeColor="accent1"/>
        <w:sz w:val="20"/>
        <w:szCs w:val="20"/>
      </w:rPr>
      <w:t xml:space="preserve"> from 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306554">
      <w:rPr>
        <w:rFonts w:ascii="Arial Nova Light" w:hAnsi="Arial Nova Light"/>
        <w:color w:val="4472C4" w:themeColor="accent1"/>
        <w:sz w:val="20"/>
        <w:szCs w:val="20"/>
      </w:rPr>
      <w:instrText xml:space="preserve"> NUMPAGES  \* Arabic  \* MERGEFORMAT </w:instrTex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306554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C15D" w14:textId="77777777" w:rsidR="00012863" w:rsidRDefault="00012863" w:rsidP="006F4C21">
      <w:pPr>
        <w:spacing w:after="0" w:line="240" w:lineRule="auto"/>
      </w:pPr>
      <w:r>
        <w:separator/>
      </w:r>
    </w:p>
  </w:footnote>
  <w:footnote w:type="continuationSeparator" w:id="0">
    <w:p w14:paraId="51C9B4F4" w14:textId="77777777" w:rsidR="00012863" w:rsidRDefault="00012863" w:rsidP="006F4C21">
      <w:pPr>
        <w:spacing w:after="0" w:line="240" w:lineRule="auto"/>
      </w:pPr>
      <w:r>
        <w:continuationSeparator/>
      </w:r>
    </w:p>
  </w:footnote>
  <w:footnote w:id="1">
    <w:p w14:paraId="282B63BC" w14:textId="257AECC9" w:rsidR="007E34F9" w:rsidRPr="00306554" w:rsidRDefault="007E34F9" w:rsidP="007E34F9">
      <w:pPr>
        <w:widowControl w:val="0"/>
        <w:shd w:val="clear" w:color="auto" w:fill="FFFFFF"/>
        <w:autoSpaceDE w:val="0"/>
        <w:autoSpaceDN w:val="0"/>
        <w:spacing w:after="120" w:line="240" w:lineRule="auto"/>
        <w:jc w:val="both"/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</w:pPr>
      <w:r w:rsidRPr="00306554">
        <w:rPr>
          <w:rStyle w:val="FootnoteReference"/>
          <w:rFonts w:ascii="Arial Nova Light" w:hAnsi="Arial Nova Light"/>
          <w:sz w:val="18"/>
          <w:szCs w:val="18"/>
        </w:rPr>
        <w:footnoteRef/>
      </w:r>
      <w:r w:rsidRPr="00306554">
        <w:rPr>
          <w:rFonts w:ascii="Arial Nova Light" w:hAnsi="Arial Nova Light"/>
          <w:sz w:val="18"/>
          <w:szCs w:val="18"/>
        </w:rPr>
        <w:t xml:space="preserve"> 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lang w:bidi="en-US"/>
        </w:rPr>
        <w:t xml:space="preserve">The performance indicators used in the procedure can be found in </w:t>
      </w:r>
      <w:r w:rsidRPr="00306554">
        <w:rPr>
          <w:rFonts w:ascii="Arial Nova Light" w:eastAsia="Times New Roman" w:hAnsi="Arial Nova Light" w:cs="Arial"/>
          <w:sz w:val="18"/>
          <w:szCs w:val="18"/>
          <w:u w:val="single"/>
          <w:lang w:bidi="en-US"/>
        </w:rPr>
        <w:t xml:space="preserve">Annex </w:t>
      </w:r>
      <w:r w:rsidRPr="00306554">
        <w:rPr>
          <w:rFonts w:ascii="Arial Nova Light" w:eastAsia="Calibri" w:hAnsi="Arial Nova Light" w:cs="Times New Roman"/>
          <w:sz w:val="18"/>
          <w:szCs w:val="18"/>
          <w:u w:val="single"/>
          <w:lang w:bidi="en-US"/>
        </w:rPr>
        <w:t xml:space="preserve">1 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u w:val="single"/>
          <w:lang w:bidi="en-US"/>
        </w:rPr>
        <w:t>to this Guide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lang w:bidi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211"/>
      <w:gridCol w:w="8187"/>
    </w:tblGrid>
    <w:tr w:rsidR="00306554" w:rsidRPr="004D1197" w14:paraId="70105914" w14:textId="77777777" w:rsidTr="000239F9">
      <w:tc>
        <w:tcPr>
          <w:tcW w:w="1101" w:type="dxa"/>
          <w:hideMark/>
        </w:tcPr>
        <w:p w14:paraId="39D4511B" w14:textId="13B47406" w:rsidR="00306554" w:rsidRPr="00105EB9" w:rsidRDefault="004D1197" w:rsidP="00306554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85623" w:themeColor="accent6" w:themeShade="80"/>
              <w:lang w:bidi="en-US"/>
            </w:rPr>
          </w:pPr>
          <w:r>
            <w:rPr>
              <w:noProof/>
            </w:rPr>
            <w:drawing>
              <wp:inline distT="0" distB="0" distL="0" distR="0" wp14:anchorId="0CD3B438" wp14:editId="30B57800">
                <wp:extent cx="632129" cy="580315"/>
                <wp:effectExtent l="0" t="0" r="0" b="0"/>
                <wp:docPr id="1480787876" name="Picture 2" descr="A green and black text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489830" name="Picture 2" descr="A green and black text and numbers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3" t="10744" r="6922" b="8264"/>
                        <a:stretch/>
                      </pic:blipFill>
                      <pic:spPr bwMode="auto">
                        <a:xfrm>
                          <a:off x="0" y="0"/>
                          <a:ext cx="642631" cy="58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21385E90" w14:textId="77777777" w:rsidR="00306554" w:rsidRPr="004D1197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b/>
              <w:color w:val="385623" w:themeColor="accent6" w:themeShade="80"/>
              <w:sz w:val="18"/>
              <w:szCs w:val="18"/>
              <w:lang w:bidi="en-US"/>
            </w:rPr>
          </w:pPr>
          <w:r w:rsidRPr="004D1197">
            <w:rPr>
              <w:rFonts w:ascii="Arial Nova Light" w:eastAsia="Calibri" w:hAnsi="Arial Nova Light" w:cs="Tahoma"/>
              <w:b/>
              <w:color w:val="385623" w:themeColor="accent6" w:themeShade="80"/>
              <w:sz w:val="18"/>
              <w:szCs w:val="18"/>
              <w:lang w:bidi="en-US"/>
            </w:rPr>
            <w:t>ROMANIAN AGENCY FOR QUALITY ASSURANCE IN HIGHER EDUCATION</w:t>
          </w:r>
        </w:p>
        <w:p w14:paraId="0A90876B" w14:textId="77777777" w:rsidR="00306554" w:rsidRPr="004D1197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i/>
              <w:color w:val="385623" w:themeColor="accent6" w:themeShade="80"/>
              <w:sz w:val="16"/>
              <w:szCs w:val="16"/>
              <w:lang w:bidi="en-US"/>
            </w:rPr>
          </w:pPr>
          <w:r w:rsidRPr="004D1197">
            <w:rPr>
              <w:rFonts w:ascii="Arial Nova Light" w:eastAsia="Calibri" w:hAnsi="Arial Nova Light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Member of the European Association for Quality Assurance in Higher Education - </w:t>
          </w:r>
          <w:r w:rsidRPr="004D1197">
            <w:rPr>
              <w:rFonts w:ascii="Arial Nova Light" w:eastAsia="Calibri" w:hAnsi="Arial Nova Light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ENQA</w:t>
          </w:r>
        </w:p>
        <w:p w14:paraId="65A7C3D3" w14:textId="77777777" w:rsidR="00306554" w:rsidRPr="004D1197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b/>
              <w:i/>
              <w:color w:val="385623" w:themeColor="accent6" w:themeShade="80"/>
              <w:sz w:val="16"/>
              <w:szCs w:val="16"/>
              <w:lang w:bidi="en-US"/>
            </w:rPr>
          </w:pPr>
          <w:r w:rsidRPr="004D1197">
            <w:rPr>
              <w:rFonts w:ascii="Arial Nova Light" w:eastAsia="Calibri" w:hAnsi="Arial Nova Light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Registered in the European Register for Quality Assurance in Higher Education – </w:t>
          </w:r>
          <w:r w:rsidRPr="004D1197">
            <w:rPr>
              <w:rFonts w:ascii="Arial Nova Light" w:eastAsia="Calibri" w:hAnsi="Arial Nova Light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EQAR</w:t>
          </w:r>
        </w:p>
      </w:tc>
    </w:tr>
  </w:tbl>
  <w:p w14:paraId="2F92BAAA" w14:textId="00A4976E" w:rsidR="00756408" w:rsidRPr="00F656C7" w:rsidRDefault="0075640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211"/>
      <w:gridCol w:w="8187"/>
    </w:tblGrid>
    <w:tr w:rsidR="00940981" w:rsidRPr="00105EB9" w14:paraId="77DFAA4A" w14:textId="77777777" w:rsidTr="000239F9">
      <w:tc>
        <w:tcPr>
          <w:tcW w:w="1101" w:type="dxa"/>
          <w:hideMark/>
        </w:tcPr>
        <w:p w14:paraId="7F13094C" w14:textId="28B345FE" w:rsidR="00940981" w:rsidRPr="00105EB9" w:rsidRDefault="00035994" w:rsidP="00940981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85623" w:themeColor="accent6" w:themeShade="80"/>
              <w:lang w:bidi="en-US"/>
            </w:rPr>
          </w:pPr>
          <w:r>
            <w:rPr>
              <w:noProof/>
            </w:rPr>
            <w:drawing>
              <wp:inline distT="0" distB="0" distL="0" distR="0" wp14:anchorId="0090EC81" wp14:editId="60959A09">
                <wp:extent cx="632129" cy="580315"/>
                <wp:effectExtent l="0" t="0" r="0" b="0"/>
                <wp:docPr id="868489830" name="Picture 2" descr="A green and black text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489830" name="Picture 2" descr="A green and black text and numbers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3" t="10744" r="6922" b="8264"/>
                        <a:stretch/>
                      </pic:blipFill>
                      <pic:spPr bwMode="auto">
                        <a:xfrm>
                          <a:off x="0" y="0"/>
                          <a:ext cx="642631" cy="58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1858B1F5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</w:pPr>
          <w:r w:rsidRPr="00105EB9"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  <w:t>ROMANIAN AGENCY FOR QUALITY ASSURANCE IN HIGHER EDUCATION</w:t>
          </w:r>
        </w:p>
        <w:p w14:paraId="1DAFB589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</w:pPr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Member of the European Association for Quality Assurance in Higher Education -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ENQA</w:t>
          </w:r>
        </w:p>
        <w:p w14:paraId="78D3FEB7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</w:pPr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Registered in the European Register for Quality Assurance in Higher Education –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EQAR</w:t>
          </w:r>
        </w:p>
      </w:tc>
    </w:tr>
  </w:tbl>
  <w:p w14:paraId="5777C550" w14:textId="77777777" w:rsidR="00364E16" w:rsidRDefault="00364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C184D"/>
    <w:multiLevelType w:val="hybridMultilevel"/>
    <w:tmpl w:val="DEEC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224C6A">
      <w:start w:val="1"/>
      <w:numFmt w:val="decimal"/>
      <w:lvlText w:val="%2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5B3"/>
    <w:multiLevelType w:val="multilevel"/>
    <w:tmpl w:val="F21A4F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EC045C"/>
    <w:multiLevelType w:val="hybridMultilevel"/>
    <w:tmpl w:val="C018C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B7942"/>
    <w:multiLevelType w:val="hybridMultilevel"/>
    <w:tmpl w:val="51F81BA0"/>
    <w:lvl w:ilvl="0" w:tplc="6FA8E6DE">
      <w:numFmt w:val="bullet"/>
      <w:lvlText w:val=""/>
      <w:lvlJc w:val="left"/>
      <w:pPr>
        <w:ind w:left="360" w:hanging="360"/>
      </w:pPr>
      <w:rPr>
        <w:rFonts w:ascii="Wingdings" w:eastAsia="Times New Roman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D23EDC"/>
    <w:multiLevelType w:val="multilevel"/>
    <w:tmpl w:val="C3EA6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num w:numId="1" w16cid:durableId="1218855638">
    <w:abstractNumId w:val="0"/>
  </w:num>
  <w:num w:numId="2" w16cid:durableId="102724975">
    <w:abstractNumId w:val="1"/>
  </w:num>
  <w:num w:numId="3" w16cid:durableId="780683983">
    <w:abstractNumId w:val="3"/>
  </w:num>
  <w:num w:numId="4" w16cid:durableId="334186343">
    <w:abstractNumId w:val="4"/>
  </w:num>
  <w:num w:numId="5" w16cid:durableId="84770465">
    <w:abstractNumId w:val="6"/>
  </w:num>
  <w:num w:numId="6" w16cid:durableId="1518621149">
    <w:abstractNumId w:val="2"/>
  </w:num>
  <w:num w:numId="7" w16cid:durableId="1222868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E4"/>
    <w:rsid w:val="0001221C"/>
    <w:rsid w:val="00012863"/>
    <w:rsid w:val="00026C76"/>
    <w:rsid w:val="00027B70"/>
    <w:rsid w:val="00035994"/>
    <w:rsid w:val="000361C7"/>
    <w:rsid w:val="0005057D"/>
    <w:rsid w:val="00053C79"/>
    <w:rsid w:val="00073899"/>
    <w:rsid w:val="00084CAB"/>
    <w:rsid w:val="00090B6F"/>
    <w:rsid w:val="000A56D1"/>
    <w:rsid w:val="000C754F"/>
    <w:rsid w:val="000D35B5"/>
    <w:rsid w:val="000F0195"/>
    <w:rsid w:val="000F06DC"/>
    <w:rsid w:val="000F183C"/>
    <w:rsid w:val="000F491E"/>
    <w:rsid w:val="000F6D1A"/>
    <w:rsid w:val="001169DF"/>
    <w:rsid w:val="00126AA2"/>
    <w:rsid w:val="001270BD"/>
    <w:rsid w:val="0013240D"/>
    <w:rsid w:val="0015459C"/>
    <w:rsid w:val="001745F1"/>
    <w:rsid w:val="001B71F7"/>
    <w:rsid w:val="001D5736"/>
    <w:rsid w:val="001E30C3"/>
    <w:rsid w:val="001F4C3D"/>
    <w:rsid w:val="00200895"/>
    <w:rsid w:val="00206644"/>
    <w:rsid w:val="00223ACD"/>
    <w:rsid w:val="002929E9"/>
    <w:rsid w:val="002A00CC"/>
    <w:rsid w:val="002B09CA"/>
    <w:rsid w:val="00306554"/>
    <w:rsid w:val="00330889"/>
    <w:rsid w:val="003351F9"/>
    <w:rsid w:val="00340455"/>
    <w:rsid w:val="00353419"/>
    <w:rsid w:val="00364E16"/>
    <w:rsid w:val="00371472"/>
    <w:rsid w:val="00377141"/>
    <w:rsid w:val="00382529"/>
    <w:rsid w:val="003B72F4"/>
    <w:rsid w:val="003F1EE6"/>
    <w:rsid w:val="003F5767"/>
    <w:rsid w:val="004010A8"/>
    <w:rsid w:val="004343A1"/>
    <w:rsid w:val="004569C3"/>
    <w:rsid w:val="00477171"/>
    <w:rsid w:val="004A46D0"/>
    <w:rsid w:val="004D1197"/>
    <w:rsid w:val="004D15DD"/>
    <w:rsid w:val="00511F87"/>
    <w:rsid w:val="00515DDA"/>
    <w:rsid w:val="0052191F"/>
    <w:rsid w:val="00557EC4"/>
    <w:rsid w:val="005764A9"/>
    <w:rsid w:val="00591653"/>
    <w:rsid w:val="005F19B3"/>
    <w:rsid w:val="005F1CA5"/>
    <w:rsid w:val="00631848"/>
    <w:rsid w:val="00636ABA"/>
    <w:rsid w:val="00652464"/>
    <w:rsid w:val="0068027F"/>
    <w:rsid w:val="0068045D"/>
    <w:rsid w:val="006B1206"/>
    <w:rsid w:val="006C0B6B"/>
    <w:rsid w:val="006C679E"/>
    <w:rsid w:val="006E6731"/>
    <w:rsid w:val="006F05D1"/>
    <w:rsid w:val="006F4C21"/>
    <w:rsid w:val="00710F26"/>
    <w:rsid w:val="00713A8B"/>
    <w:rsid w:val="007324DC"/>
    <w:rsid w:val="0073352E"/>
    <w:rsid w:val="007451FF"/>
    <w:rsid w:val="007556B0"/>
    <w:rsid w:val="00756408"/>
    <w:rsid w:val="00784493"/>
    <w:rsid w:val="00790270"/>
    <w:rsid w:val="007D584A"/>
    <w:rsid w:val="007E34F9"/>
    <w:rsid w:val="007E4802"/>
    <w:rsid w:val="008067ED"/>
    <w:rsid w:val="00815B8B"/>
    <w:rsid w:val="00832634"/>
    <w:rsid w:val="00864E13"/>
    <w:rsid w:val="00870A37"/>
    <w:rsid w:val="00905FD7"/>
    <w:rsid w:val="00913FE4"/>
    <w:rsid w:val="009215D5"/>
    <w:rsid w:val="009404AE"/>
    <w:rsid w:val="00940981"/>
    <w:rsid w:val="0094346C"/>
    <w:rsid w:val="00943DDF"/>
    <w:rsid w:val="009B32D9"/>
    <w:rsid w:val="009B62A5"/>
    <w:rsid w:val="009D3468"/>
    <w:rsid w:val="009E406D"/>
    <w:rsid w:val="009F1C18"/>
    <w:rsid w:val="00A039E5"/>
    <w:rsid w:val="00A25664"/>
    <w:rsid w:val="00A25C1A"/>
    <w:rsid w:val="00A305A3"/>
    <w:rsid w:val="00A427C8"/>
    <w:rsid w:val="00A74E2C"/>
    <w:rsid w:val="00A84527"/>
    <w:rsid w:val="00AD080B"/>
    <w:rsid w:val="00AE2FA6"/>
    <w:rsid w:val="00AE5D83"/>
    <w:rsid w:val="00B678AA"/>
    <w:rsid w:val="00BD339E"/>
    <w:rsid w:val="00BD650E"/>
    <w:rsid w:val="00BF7B68"/>
    <w:rsid w:val="00C501C6"/>
    <w:rsid w:val="00C94BF9"/>
    <w:rsid w:val="00CA2F9B"/>
    <w:rsid w:val="00CB0A66"/>
    <w:rsid w:val="00D07643"/>
    <w:rsid w:val="00D109CF"/>
    <w:rsid w:val="00DA46EF"/>
    <w:rsid w:val="00DA5A44"/>
    <w:rsid w:val="00DA5F58"/>
    <w:rsid w:val="00E0234F"/>
    <w:rsid w:val="00E214FF"/>
    <w:rsid w:val="00E55655"/>
    <w:rsid w:val="00E568E4"/>
    <w:rsid w:val="00E57922"/>
    <w:rsid w:val="00EC1EB3"/>
    <w:rsid w:val="00F42B59"/>
    <w:rsid w:val="00F656C7"/>
    <w:rsid w:val="00FB2606"/>
    <w:rsid w:val="00FD0686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79824"/>
  <w15:chartTrackingRefBased/>
  <w15:docId w15:val="{177E3D4C-CC62-4223-8FB2-908E24D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50E"/>
    <w:pPr>
      <w:widowControl w:val="0"/>
      <w:autoSpaceDE w:val="0"/>
      <w:autoSpaceDN w:val="0"/>
      <w:spacing w:before="240" w:after="120" w:line="240" w:lineRule="auto"/>
      <w:ind w:left="641" w:hanging="357"/>
      <w:outlineLvl w:val="0"/>
    </w:pPr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2929E9"/>
    <w:pPr>
      <w:outlineLvl w:val="3"/>
    </w:p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2929E9"/>
    <w:pPr>
      <w:jc w:val="both"/>
      <w:outlineLvl w:val="4"/>
    </w:pPr>
    <w:rPr>
      <w:rFonts w:eastAsia="Calibri Light"/>
      <w:color w:val="007E39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6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25C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50E"/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21"/>
  </w:style>
  <w:style w:type="paragraph" w:styleId="Footer">
    <w:name w:val="footer"/>
    <w:basedOn w:val="Normal"/>
    <w:link w:val="Foot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21"/>
  </w:style>
  <w:style w:type="table" w:styleId="TableGrid">
    <w:name w:val="Table Grid"/>
    <w:basedOn w:val="TableNormal"/>
    <w:uiPriority w:val="39"/>
    <w:rsid w:val="0075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34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4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4F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D57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7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55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64E13"/>
    <w:pPr>
      <w:keepNext/>
      <w:keepLines/>
      <w:widowControl/>
      <w:autoSpaceDE/>
      <w:autoSpaceDN/>
      <w:spacing w:after="0" w:line="259" w:lineRule="auto"/>
      <w:ind w:left="0" w:firstLine="0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6554"/>
    <w:pPr>
      <w:tabs>
        <w:tab w:val="right" w:leader="dot" w:pos="99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4E1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4E1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64E1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9E9"/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929E9"/>
    <w:rPr>
      <w:rFonts w:asciiTheme="majorHAnsi" w:eastAsia="Calibri Light" w:hAnsiTheme="majorHAnsi" w:cstheme="majorBidi"/>
      <w:color w:val="007E39"/>
      <w:sz w:val="26"/>
      <w:szCs w:val="26"/>
      <w:lang w:val="ro-RO"/>
    </w:rPr>
  </w:style>
  <w:style w:type="paragraph" w:styleId="NoSpacing">
    <w:name w:val="No Spacing"/>
    <w:uiPriority w:val="1"/>
    <w:qFormat/>
    <w:rsid w:val="0033088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30889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71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4BFB-2550-449B-8CE8-1D70B1D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Catana</dc:creator>
  <cp:keywords/>
  <dc:description/>
  <cp:lastModifiedBy>Stefania Armaselu</cp:lastModifiedBy>
  <cp:revision>6</cp:revision>
  <dcterms:created xsi:type="dcterms:W3CDTF">2025-01-11T20:25:00Z</dcterms:created>
  <dcterms:modified xsi:type="dcterms:W3CDTF">2025-11-03T10:05:00Z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6351ecadc751c9b92114e64034aeb1abf967f0ddac96de859aab0dcbf3e5593f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2024-10-04T13:30:14Z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1e34d117-0667-4f11-b30e-434e06a79d4c</vt:lpwstr>
  </property>
  <property fmtid="{D5CDD505-2E9C-101B-9397-08002B2CF9AE}" pid="9" name="MSIP_Label_defa4170-0d19-0005-0004-bc88714345d2_ContentBits">
    <vt:lpwstr>0</vt:lpwstr>
  </property>
</Properties>
</file>